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52"/>
        <w:tblW w:w="5405" w:type="pct"/>
        <w:tblLook w:val="04A0" w:firstRow="1" w:lastRow="0" w:firstColumn="1" w:lastColumn="0" w:noHBand="0" w:noVBand="1"/>
      </w:tblPr>
      <w:tblGrid>
        <w:gridCol w:w="1672"/>
        <w:gridCol w:w="1905"/>
        <w:gridCol w:w="1819"/>
        <w:gridCol w:w="4858"/>
      </w:tblGrid>
      <w:tr w:rsidR="00A60494" w:rsidRPr="00B557CA" w14:paraId="75B210B3" w14:textId="77777777" w:rsidTr="00CF1725">
        <w:trPr>
          <w:trHeight w:val="710"/>
        </w:trPr>
        <w:tc>
          <w:tcPr>
            <w:tcW w:w="5000" w:type="pct"/>
            <w:gridSpan w:val="4"/>
          </w:tcPr>
          <w:p w14:paraId="5354C262" w14:textId="244A4A4F" w:rsidR="00A60494" w:rsidRPr="00B557CA" w:rsidRDefault="00A60494" w:rsidP="00CF1725">
            <w:pPr>
              <w:pStyle w:val="Heading1"/>
              <w:spacing w:after="0"/>
              <w:rPr>
                <w:rFonts w:ascii="Arial" w:hAnsi="Arial" w:cs="Arial"/>
                <w:sz w:val="22"/>
                <w:szCs w:val="22"/>
              </w:rPr>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r w:rsidRPr="00B557CA">
              <w:rPr>
                <w:rFonts w:ascii="Arial" w:hAnsi="Arial" w:cs="Arial"/>
                <w:sz w:val="22"/>
                <w:szCs w:val="22"/>
              </w:rPr>
              <w:t>Part B: Review of outcomes in the previous academic year</w:t>
            </w:r>
            <w:r w:rsidR="00CF1725">
              <w:rPr>
                <w:rFonts w:ascii="Arial" w:hAnsi="Arial" w:cs="Arial"/>
                <w:sz w:val="22"/>
                <w:szCs w:val="22"/>
              </w:rPr>
              <w:t xml:space="preserve">. </w:t>
            </w:r>
            <w:r w:rsidRPr="00B557CA">
              <w:rPr>
                <w:rFonts w:ascii="Arial" w:hAnsi="Arial" w:cs="Arial"/>
                <w:b w:val="0"/>
                <w:bCs/>
                <w:color w:val="auto"/>
                <w:sz w:val="22"/>
                <w:szCs w:val="22"/>
              </w:rPr>
              <w:t>This details the impact that our pupil premium activity had on pupils in the 2024 to 2025 academic year.</w:t>
            </w:r>
            <w:r w:rsidRPr="00B557CA">
              <w:rPr>
                <w:rFonts w:ascii="Arial" w:hAnsi="Arial" w:cs="Arial"/>
                <w:color w:val="auto"/>
                <w:sz w:val="22"/>
                <w:szCs w:val="22"/>
              </w:rPr>
              <w:t xml:space="preserve">   </w:t>
            </w:r>
          </w:p>
        </w:tc>
      </w:tr>
      <w:tr w:rsidR="00A60494" w:rsidRPr="00B557CA" w14:paraId="705726F8" w14:textId="77777777" w:rsidTr="00D231F6">
        <w:trPr>
          <w:trHeight w:val="1249"/>
        </w:trPr>
        <w:tc>
          <w:tcPr>
            <w:tcW w:w="815" w:type="pct"/>
          </w:tcPr>
          <w:p w14:paraId="4B37A0D5" w14:textId="77777777" w:rsidR="00A60494" w:rsidRPr="00B557CA" w:rsidRDefault="00A60494" w:rsidP="00CC50CF">
            <w:pPr>
              <w:pStyle w:val="Heading2"/>
              <w:spacing w:before="0" w:after="0"/>
              <w:rPr>
                <w:rFonts w:ascii="Arial" w:hAnsi="Arial" w:cs="Arial"/>
                <w:bCs/>
                <w:color w:val="auto"/>
                <w:sz w:val="22"/>
                <w:szCs w:val="22"/>
              </w:rPr>
            </w:pPr>
            <w:r w:rsidRPr="00B557CA">
              <w:rPr>
                <w:rFonts w:ascii="Arial" w:hAnsi="Arial" w:cs="Arial"/>
                <w:bCs/>
                <w:color w:val="auto"/>
                <w:sz w:val="22"/>
                <w:szCs w:val="22"/>
              </w:rPr>
              <w:t>Activity</w:t>
            </w:r>
          </w:p>
        </w:tc>
        <w:tc>
          <w:tcPr>
            <w:tcW w:w="929" w:type="pct"/>
          </w:tcPr>
          <w:p w14:paraId="3021E452" w14:textId="2A393ECA" w:rsidR="00A60494" w:rsidRPr="006A19CB" w:rsidRDefault="00A60494" w:rsidP="00A60494">
            <w:pPr>
              <w:pStyle w:val="Heading2"/>
              <w:spacing w:before="0" w:after="0"/>
              <w:jc w:val="center"/>
              <w:rPr>
                <w:rFonts w:ascii="Arial" w:hAnsi="Arial" w:cs="Arial"/>
                <w:bCs/>
                <w:color w:val="FF0000"/>
                <w:sz w:val="22"/>
                <w:szCs w:val="22"/>
              </w:rPr>
            </w:pPr>
            <w:r w:rsidRPr="006A19CB">
              <w:rPr>
                <w:rFonts w:ascii="Arial" w:hAnsi="Arial" w:cs="Arial"/>
                <w:color w:val="FF0000"/>
                <w:sz w:val="22"/>
                <w:szCs w:val="22"/>
              </w:rPr>
              <w:t xml:space="preserve">Actual spend to date (Sep to 31st Jan 25) End of Year </w:t>
            </w:r>
            <w:r w:rsidR="00D231F6" w:rsidRPr="006A19CB">
              <w:rPr>
                <w:rFonts w:ascii="Arial" w:hAnsi="Arial" w:cs="Arial"/>
                <w:color w:val="FF0000"/>
                <w:sz w:val="22"/>
                <w:szCs w:val="22"/>
              </w:rPr>
              <w:t xml:space="preserve">figures </w:t>
            </w:r>
            <w:r w:rsidRPr="006A19CB">
              <w:rPr>
                <w:rFonts w:ascii="Arial" w:hAnsi="Arial" w:cs="Arial"/>
                <w:color w:val="FF0000"/>
                <w:sz w:val="22"/>
                <w:szCs w:val="22"/>
              </w:rPr>
              <w:t>TBC</w:t>
            </w:r>
          </w:p>
        </w:tc>
        <w:tc>
          <w:tcPr>
            <w:tcW w:w="887" w:type="pct"/>
          </w:tcPr>
          <w:p w14:paraId="1F40E892" w14:textId="77777777" w:rsidR="00A60494" w:rsidRPr="00B557CA" w:rsidRDefault="00A60494" w:rsidP="00CC50CF">
            <w:pPr>
              <w:rPr>
                <w:rFonts w:ascii="Arial" w:hAnsi="Arial" w:cs="Arial"/>
                <w:b/>
                <w:bCs/>
                <w:color w:val="000000" w:themeColor="text1"/>
                <w:sz w:val="22"/>
                <w:szCs w:val="22"/>
              </w:rPr>
            </w:pPr>
            <w:r w:rsidRPr="00B557CA">
              <w:rPr>
                <w:rFonts w:ascii="Arial" w:hAnsi="Arial" w:cs="Arial"/>
                <w:b/>
                <w:color w:val="000000" w:themeColor="text1"/>
                <w:sz w:val="22"/>
                <w:szCs w:val="22"/>
              </w:rPr>
              <w:t>Planned Expenditure</w:t>
            </w:r>
          </w:p>
        </w:tc>
        <w:tc>
          <w:tcPr>
            <w:tcW w:w="2369" w:type="pct"/>
          </w:tcPr>
          <w:p w14:paraId="277EB343" w14:textId="77777777" w:rsidR="00A60494" w:rsidRPr="00B557CA" w:rsidRDefault="00A60494" w:rsidP="00CC50CF">
            <w:pPr>
              <w:rPr>
                <w:rFonts w:ascii="Arial" w:hAnsi="Arial" w:cs="Arial"/>
                <w:b/>
                <w:bCs/>
                <w:color w:val="auto"/>
                <w:sz w:val="22"/>
                <w:szCs w:val="22"/>
              </w:rPr>
            </w:pPr>
            <w:r w:rsidRPr="00B557CA">
              <w:rPr>
                <w:rFonts w:ascii="Arial" w:hAnsi="Arial" w:cs="Arial"/>
                <w:b/>
                <w:bCs/>
                <w:color w:val="auto"/>
                <w:sz w:val="22"/>
                <w:szCs w:val="22"/>
              </w:rPr>
              <w:t>End of Year Impact Report 2024-2025</w:t>
            </w:r>
          </w:p>
          <w:p w14:paraId="42AFE0FD" w14:textId="77777777" w:rsidR="00A60494" w:rsidRPr="00B557CA" w:rsidRDefault="00A60494" w:rsidP="00CC50CF">
            <w:pPr>
              <w:pStyle w:val="Heading2"/>
              <w:spacing w:before="0" w:after="0"/>
              <w:rPr>
                <w:rFonts w:ascii="Arial" w:hAnsi="Arial" w:cs="Arial"/>
                <w:bCs/>
                <w:color w:val="auto"/>
                <w:sz w:val="22"/>
                <w:szCs w:val="22"/>
              </w:rPr>
            </w:pPr>
          </w:p>
        </w:tc>
      </w:tr>
      <w:tr w:rsidR="00A60494" w:rsidRPr="00B557CA" w14:paraId="60D9A9F3" w14:textId="77777777" w:rsidTr="00D231F6">
        <w:trPr>
          <w:trHeight w:val="140"/>
        </w:trPr>
        <w:tc>
          <w:tcPr>
            <w:tcW w:w="815" w:type="pct"/>
          </w:tcPr>
          <w:p w14:paraId="5A7EE8DC" w14:textId="77777777" w:rsidR="00A60494" w:rsidRPr="00B557CA" w:rsidRDefault="00A60494" w:rsidP="00CC50CF">
            <w:pPr>
              <w:pStyle w:val="Heading2"/>
              <w:spacing w:before="0" w:after="0"/>
              <w:rPr>
                <w:rFonts w:ascii="Arial" w:hAnsi="Arial" w:cs="Arial"/>
                <w:bCs/>
                <w:color w:val="auto"/>
                <w:sz w:val="22"/>
                <w:szCs w:val="22"/>
              </w:rPr>
            </w:pPr>
            <w:r w:rsidRPr="00B557CA">
              <w:rPr>
                <w:rFonts w:ascii="Arial" w:hAnsi="Arial" w:cs="Arial"/>
                <w:bCs/>
                <w:color w:val="auto"/>
                <w:sz w:val="22"/>
                <w:szCs w:val="22"/>
              </w:rPr>
              <w:t>Teaching and Support Staff (including CPD)</w:t>
            </w:r>
          </w:p>
          <w:p w14:paraId="51B827FF" w14:textId="77777777" w:rsidR="00A60494" w:rsidRPr="00B557CA" w:rsidRDefault="00A60494" w:rsidP="00CC50CF">
            <w:pPr>
              <w:rPr>
                <w:rFonts w:ascii="Arial" w:hAnsi="Arial" w:cs="Arial"/>
                <w:sz w:val="22"/>
                <w:szCs w:val="22"/>
              </w:rPr>
            </w:pPr>
          </w:p>
          <w:p w14:paraId="20E346F1" w14:textId="77777777" w:rsidR="00A60494" w:rsidRPr="00B557CA" w:rsidRDefault="00A60494" w:rsidP="00CC50CF">
            <w:pPr>
              <w:rPr>
                <w:rFonts w:ascii="Arial" w:hAnsi="Arial" w:cs="Arial"/>
                <w:sz w:val="22"/>
                <w:szCs w:val="22"/>
              </w:rPr>
            </w:pPr>
          </w:p>
          <w:p w14:paraId="4A255534" w14:textId="77777777" w:rsidR="00A60494" w:rsidRPr="00B557CA" w:rsidRDefault="00A60494" w:rsidP="00CC50CF">
            <w:pPr>
              <w:rPr>
                <w:rFonts w:ascii="Arial" w:hAnsi="Arial" w:cs="Arial"/>
                <w:sz w:val="22"/>
                <w:szCs w:val="22"/>
              </w:rPr>
            </w:pPr>
          </w:p>
          <w:p w14:paraId="15429AF0" w14:textId="77777777" w:rsidR="00A60494" w:rsidRPr="00B557CA" w:rsidRDefault="00A60494" w:rsidP="00CC50CF">
            <w:pPr>
              <w:rPr>
                <w:rFonts w:ascii="Arial" w:hAnsi="Arial" w:cs="Arial"/>
                <w:sz w:val="22"/>
                <w:szCs w:val="22"/>
              </w:rPr>
            </w:pPr>
          </w:p>
          <w:p w14:paraId="373EA402" w14:textId="77777777" w:rsidR="00A60494" w:rsidRPr="00B557CA" w:rsidRDefault="00A60494" w:rsidP="00CC50CF">
            <w:pPr>
              <w:rPr>
                <w:rFonts w:ascii="Arial" w:hAnsi="Arial" w:cs="Arial"/>
                <w:sz w:val="22"/>
                <w:szCs w:val="22"/>
              </w:rPr>
            </w:pPr>
          </w:p>
          <w:p w14:paraId="7926AAC1" w14:textId="77777777" w:rsidR="00A60494" w:rsidRPr="00B557CA" w:rsidRDefault="00A60494" w:rsidP="00CC50CF">
            <w:pPr>
              <w:rPr>
                <w:rFonts w:ascii="Arial" w:hAnsi="Arial" w:cs="Arial"/>
                <w:sz w:val="22"/>
                <w:szCs w:val="22"/>
              </w:rPr>
            </w:pPr>
          </w:p>
          <w:p w14:paraId="5B7199A2" w14:textId="77777777" w:rsidR="00A60494" w:rsidRPr="00B557CA" w:rsidRDefault="00A60494" w:rsidP="00CC50CF">
            <w:pPr>
              <w:rPr>
                <w:rFonts w:ascii="Arial" w:hAnsi="Arial" w:cs="Arial"/>
                <w:sz w:val="22"/>
                <w:szCs w:val="22"/>
              </w:rPr>
            </w:pPr>
          </w:p>
          <w:p w14:paraId="301FCEDE" w14:textId="77777777" w:rsidR="00A60494" w:rsidRPr="00B557CA" w:rsidRDefault="00A60494" w:rsidP="00CC50CF">
            <w:pPr>
              <w:rPr>
                <w:rFonts w:ascii="Arial" w:hAnsi="Arial" w:cs="Arial"/>
                <w:sz w:val="22"/>
                <w:szCs w:val="22"/>
              </w:rPr>
            </w:pPr>
          </w:p>
          <w:p w14:paraId="4F4FED85" w14:textId="77777777" w:rsidR="00A60494" w:rsidRPr="00B557CA" w:rsidRDefault="00A60494" w:rsidP="00CC50CF">
            <w:pPr>
              <w:jc w:val="center"/>
              <w:rPr>
                <w:rFonts w:ascii="Arial" w:hAnsi="Arial" w:cs="Arial"/>
                <w:sz w:val="22"/>
                <w:szCs w:val="22"/>
              </w:rPr>
            </w:pPr>
          </w:p>
          <w:p w14:paraId="4857DD1C" w14:textId="77777777" w:rsidR="00A60494" w:rsidRPr="00B557CA" w:rsidRDefault="00A60494" w:rsidP="00CC50CF">
            <w:pPr>
              <w:jc w:val="center"/>
              <w:rPr>
                <w:rFonts w:ascii="Arial" w:hAnsi="Arial" w:cs="Arial"/>
                <w:sz w:val="22"/>
                <w:szCs w:val="22"/>
              </w:rPr>
            </w:pPr>
          </w:p>
          <w:p w14:paraId="6DCA542F" w14:textId="77777777" w:rsidR="00A60494" w:rsidRPr="00B557CA" w:rsidRDefault="00A60494" w:rsidP="00CC50CF">
            <w:pPr>
              <w:jc w:val="center"/>
              <w:rPr>
                <w:rFonts w:ascii="Arial" w:hAnsi="Arial" w:cs="Arial"/>
                <w:sz w:val="22"/>
                <w:szCs w:val="22"/>
              </w:rPr>
            </w:pPr>
          </w:p>
          <w:p w14:paraId="060C8730" w14:textId="77777777" w:rsidR="00A60494" w:rsidRPr="00B557CA" w:rsidRDefault="00A60494" w:rsidP="00CC50CF">
            <w:pPr>
              <w:jc w:val="center"/>
              <w:rPr>
                <w:rFonts w:ascii="Arial" w:hAnsi="Arial" w:cs="Arial"/>
                <w:sz w:val="22"/>
                <w:szCs w:val="22"/>
              </w:rPr>
            </w:pPr>
          </w:p>
          <w:p w14:paraId="29AAF682" w14:textId="77777777" w:rsidR="00A60494" w:rsidRPr="00B557CA" w:rsidRDefault="00A60494" w:rsidP="00CC50CF">
            <w:pPr>
              <w:jc w:val="center"/>
              <w:rPr>
                <w:rFonts w:ascii="Arial" w:hAnsi="Arial" w:cs="Arial"/>
                <w:sz w:val="22"/>
                <w:szCs w:val="22"/>
              </w:rPr>
            </w:pPr>
          </w:p>
          <w:p w14:paraId="1EBFAA4D" w14:textId="77777777" w:rsidR="00A60494" w:rsidRPr="00B557CA" w:rsidRDefault="00A60494" w:rsidP="00CC50CF">
            <w:pPr>
              <w:jc w:val="center"/>
              <w:rPr>
                <w:rFonts w:ascii="Arial" w:hAnsi="Arial" w:cs="Arial"/>
                <w:sz w:val="22"/>
                <w:szCs w:val="22"/>
              </w:rPr>
            </w:pPr>
          </w:p>
          <w:p w14:paraId="39F513FB" w14:textId="77777777" w:rsidR="00A60494" w:rsidRPr="00B557CA" w:rsidRDefault="00A60494" w:rsidP="00CC50CF">
            <w:pPr>
              <w:rPr>
                <w:rFonts w:ascii="Arial" w:hAnsi="Arial" w:cs="Arial"/>
                <w:sz w:val="22"/>
                <w:szCs w:val="22"/>
              </w:rPr>
            </w:pPr>
          </w:p>
          <w:p w14:paraId="0A0C4D04" w14:textId="77777777" w:rsidR="00A60494" w:rsidRPr="00B557CA" w:rsidRDefault="00A60494" w:rsidP="00CC50CF">
            <w:pPr>
              <w:rPr>
                <w:rFonts w:ascii="Arial" w:hAnsi="Arial" w:cs="Arial"/>
                <w:sz w:val="22"/>
                <w:szCs w:val="22"/>
              </w:rPr>
            </w:pPr>
          </w:p>
          <w:p w14:paraId="14F35B36" w14:textId="77777777" w:rsidR="00A60494" w:rsidRPr="00B557CA" w:rsidRDefault="00A60494" w:rsidP="00CC50CF">
            <w:pPr>
              <w:rPr>
                <w:rFonts w:ascii="Arial" w:hAnsi="Arial" w:cs="Arial"/>
                <w:sz w:val="22"/>
                <w:szCs w:val="22"/>
              </w:rPr>
            </w:pPr>
          </w:p>
          <w:p w14:paraId="56FEE867" w14:textId="77777777" w:rsidR="00A60494" w:rsidRPr="00B557CA" w:rsidRDefault="00A60494" w:rsidP="00CC50CF">
            <w:pPr>
              <w:rPr>
                <w:rFonts w:ascii="Arial" w:hAnsi="Arial" w:cs="Arial"/>
                <w:sz w:val="22"/>
                <w:szCs w:val="22"/>
              </w:rPr>
            </w:pPr>
          </w:p>
          <w:p w14:paraId="0C26A3B1" w14:textId="77777777" w:rsidR="00A60494" w:rsidRPr="00B557CA" w:rsidRDefault="00A60494" w:rsidP="00CC50CF">
            <w:pPr>
              <w:rPr>
                <w:rFonts w:ascii="Arial" w:hAnsi="Arial" w:cs="Arial"/>
                <w:sz w:val="22"/>
                <w:szCs w:val="22"/>
              </w:rPr>
            </w:pPr>
          </w:p>
          <w:p w14:paraId="416282D6" w14:textId="77777777" w:rsidR="00A60494" w:rsidRPr="00B557CA" w:rsidRDefault="00A60494" w:rsidP="00CC50CF">
            <w:pPr>
              <w:rPr>
                <w:rFonts w:ascii="Arial" w:hAnsi="Arial" w:cs="Arial"/>
                <w:sz w:val="22"/>
                <w:szCs w:val="22"/>
              </w:rPr>
            </w:pPr>
          </w:p>
          <w:p w14:paraId="7B4214CB" w14:textId="77777777" w:rsidR="00A60494" w:rsidRPr="00B557CA" w:rsidRDefault="00A60494" w:rsidP="00CC50CF">
            <w:pPr>
              <w:rPr>
                <w:rFonts w:ascii="Arial" w:hAnsi="Arial" w:cs="Arial"/>
                <w:sz w:val="22"/>
                <w:szCs w:val="22"/>
              </w:rPr>
            </w:pPr>
          </w:p>
        </w:tc>
        <w:tc>
          <w:tcPr>
            <w:tcW w:w="929" w:type="pct"/>
            <w:shd w:val="clear" w:color="auto" w:fill="auto"/>
          </w:tcPr>
          <w:p w14:paraId="3124B3C5" w14:textId="77777777" w:rsidR="00A60494" w:rsidRPr="006A19CB" w:rsidRDefault="00A60494" w:rsidP="00CC50CF">
            <w:pPr>
              <w:pStyle w:val="Heading2"/>
              <w:spacing w:before="0" w:after="0"/>
              <w:rPr>
                <w:rFonts w:ascii="Arial" w:hAnsi="Arial" w:cs="Arial"/>
                <w:bCs/>
                <w:color w:val="FF0000"/>
                <w:sz w:val="22"/>
                <w:szCs w:val="22"/>
              </w:rPr>
            </w:pPr>
            <w:r w:rsidRPr="006A19CB">
              <w:rPr>
                <w:rFonts w:ascii="Arial" w:hAnsi="Arial" w:cs="Arial"/>
                <w:bCs/>
                <w:color w:val="FF0000"/>
                <w:sz w:val="22"/>
                <w:szCs w:val="22"/>
              </w:rPr>
              <w:lastRenderedPageBreak/>
              <w:t>£31,284</w:t>
            </w:r>
          </w:p>
          <w:p w14:paraId="68116880"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£726 (CPD)</w:t>
            </w:r>
          </w:p>
          <w:p w14:paraId="7EE2F1D4" w14:textId="77777777" w:rsidR="00A60494" w:rsidRPr="006A19CB" w:rsidRDefault="00A60494" w:rsidP="00CC50CF">
            <w:pPr>
              <w:rPr>
                <w:rFonts w:ascii="Arial" w:hAnsi="Arial" w:cs="Arial"/>
                <w:color w:val="FF0000"/>
                <w:sz w:val="22"/>
                <w:szCs w:val="22"/>
              </w:rPr>
            </w:pPr>
          </w:p>
          <w:p w14:paraId="63645178" w14:textId="77777777" w:rsidR="00A60494" w:rsidRPr="006A19CB" w:rsidRDefault="00A60494" w:rsidP="00CC50CF">
            <w:pPr>
              <w:rPr>
                <w:rFonts w:ascii="Arial" w:hAnsi="Arial" w:cs="Arial"/>
                <w:color w:val="FF0000"/>
                <w:sz w:val="22"/>
                <w:szCs w:val="22"/>
              </w:rPr>
            </w:pPr>
          </w:p>
          <w:p w14:paraId="1A964163" w14:textId="77777777" w:rsidR="00A60494" w:rsidRPr="006A19CB" w:rsidRDefault="00A60494" w:rsidP="00CC50CF">
            <w:pPr>
              <w:rPr>
                <w:rFonts w:ascii="Arial" w:hAnsi="Arial" w:cs="Arial"/>
                <w:color w:val="FF0000"/>
                <w:sz w:val="22"/>
                <w:szCs w:val="22"/>
              </w:rPr>
            </w:pPr>
          </w:p>
          <w:p w14:paraId="11572FCF" w14:textId="77777777" w:rsidR="00A60494" w:rsidRPr="006A19CB" w:rsidRDefault="00A60494" w:rsidP="00CC50CF">
            <w:pPr>
              <w:rPr>
                <w:rFonts w:ascii="Arial" w:hAnsi="Arial" w:cs="Arial"/>
                <w:color w:val="FF0000"/>
                <w:sz w:val="22"/>
                <w:szCs w:val="22"/>
              </w:rPr>
            </w:pPr>
          </w:p>
          <w:p w14:paraId="58D1DE8E"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£5,700 (Inclusion Staffing)</w:t>
            </w:r>
          </w:p>
          <w:p w14:paraId="0653DCEF" w14:textId="77777777" w:rsidR="00A60494" w:rsidRPr="006A19CB" w:rsidRDefault="00A60494" w:rsidP="00CC50CF">
            <w:pPr>
              <w:rPr>
                <w:rFonts w:ascii="Arial" w:hAnsi="Arial" w:cs="Arial"/>
                <w:color w:val="FF0000"/>
                <w:sz w:val="22"/>
                <w:szCs w:val="22"/>
              </w:rPr>
            </w:pPr>
          </w:p>
          <w:p w14:paraId="5A4F6D27" w14:textId="77777777" w:rsidR="00A60494" w:rsidRPr="006A19CB" w:rsidRDefault="00A60494" w:rsidP="00CC50CF">
            <w:pPr>
              <w:rPr>
                <w:rFonts w:ascii="Arial" w:hAnsi="Arial" w:cs="Arial"/>
                <w:color w:val="FF0000"/>
                <w:sz w:val="22"/>
                <w:szCs w:val="22"/>
              </w:rPr>
            </w:pPr>
          </w:p>
          <w:p w14:paraId="341B5114" w14:textId="77777777" w:rsidR="00A60494" w:rsidRPr="006A19CB" w:rsidRDefault="00A60494" w:rsidP="00CC50CF">
            <w:pPr>
              <w:rPr>
                <w:rFonts w:ascii="Arial" w:hAnsi="Arial" w:cs="Arial"/>
                <w:color w:val="FF0000"/>
                <w:sz w:val="22"/>
                <w:szCs w:val="22"/>
              </w:rPr>
            </w:pPr>
          </w:p>
          <w:p w14:paraId="170232ED" w14:textId="77777777" w:rsidR="00A60494" w:rsidRPr="006A19CB" w:rsidRDefault="00A60494" w:rsidP="00CC50CF">
            <w:pPr>
              <w:rPr>
                <w:rFonts w:ascii="Arial" w:hAnsi="Arial" w:cs="Arial"/>
                <w:color w:val="FF0000"/>
                <w:sz w:val="22"/>
                <w:szCs w:val="22"/>
              </w:rPr>
            </w:pPr>
          </w:p>
          <w:p w14:paraId="4A686C96" w14:textId="77777777" w:rsidR="00A60494" w:rsidRPr="006A19CB" w:rsidRDefault="00A60494" w:rsidP="00CC50CF">
            <w:pPr>
              <w:rPr>
                <w:rFonts w:ascii="Arial" w:hAnsi="Arial" w:cs="Arial"/>
                <w:color w:val="FF0000"/>
                <w:sz w:val="22"/>
                <w:szCs w:val="22"/>
              </w:rPr>
            </w:pPr>
          </w:p>
          <w:p w14:paraId="231AA311" w14:textId="77777777" w:rsidR="00A60494" w:rsidRPr="006A19CB" w:rsidRDefault="00A60494" w:rsidP="00CC50CF">
            <w:pPr>
              <w:rPr>
                <w:rFonts w:ascii="Arial" w:hAnsi="Arial" w:cs="Arial"/>
                <w:color w:val="FF0000"/>
                <w:sz w:val="22"/>
                <w:szCs w:val="22"/>
              </w:rPr>
            </w:pPr>
          </w:p>
          <w:p w14:paraId="4FEE7E38"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£12,804 (Teaching)</w:t>
            </w:r>
          </w:p>
          <w:p w14:paraId="0B6D0948" w14:textId="77777777" w:rsidR="00A60494" w:rsidRPr="006A19CB" w:rsidRDefault="00A60494" w:rsidP="00CC50CF">
            <w:pPr>
              <w:rPr>
                <w:rFonts w:ascii="Arial" w:hAnsi="Arial" w:cs="Arial"/>
                <w:color w:val="FF0000"/>
                <w:sz w:val="22"/>
                <w:szCs w:val="22"/>
              </w:rPr>
            </w:pPr>
          </w:p>
          <w:p w14:paraId="7109C7F3" w14:textId="77777777" w:rsidR="00A60494" w:rsidRPr="006A19CB" w:rsidRDefault="00A60494" w:rsidP="00CC50CF">
            <w:pPr>
              <w:rPr>
                <w:rFonts w:ascii="Arial" w:hAnsi="Arial" w:cs="Arial"/>
                <w:color w:val="FF0000"/>
                <w:sz w:val="22"/>
                <w:szCs w:val="22"/>
              </w:rPr>
            </w:pPr>
          </w:p>
          <w:p w14:paraId="1F48A958" w14:textId="77777777" w:rsidR="00A60494" w:rsidRPr="006A19CB" w:rsidRDefault="00A60494" w:rsidP="00CC50CF">
            <w:pPr>
              <w:rPr>
                <w:rFonts w:ascii="Arial" w:hAnsi="Arial" w:cs="Arial"/>
                <w:color w:val="FF0000"/>
                <w:sz w:val="22"/>
                <w:szCs w:val="22"/>
              </w:rPr>
            </w:pPr>
          </w:p>
          <w:p w14:paraId="41955662" w14:textId="77777777" w:rsidR="00A60494" w:rsidRPr="006A19CB" w:rsidRDefault="00A60494" w:rsidP="00CC50CF">
            <w:pPr>
              <w:rPr>
                <w:rFonts w:ascii="Arial" w:hAnsi="Arial" w:cs="Arial"/>
                <w:color w:val="FF0000"/>
                <w:sz w:val="22"/>
                <w:szCs w:val="22"/>
              </w:rPr>
            </w:pPr>
          </w:p>
          <w:p w14:paraId="191FB709" w14:textId="77777777" w:rsidR="00A60494" w:rsidRPr="006A19CB" w:rsidRDefault="00A60494" w:rsidP="00CC50CF">
            <w:pPr>
              <w:rPr>
                <w:rFonts w:ascii="Arial" w:hAnsi="Arial" w:cs="Arial"/>
                <w:color w:val="FF0000"/>
                <w:sz w:val="22"/>
                <w:szCs w:val="22"/>
              </w:rPr>
            </w:pPr>
          </w:p>
          <w:p w14:paraId="70BD880B"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£12,054 (Teaching Assistants)</w:t>
            </w:r>
          </w:p>
        </w:tc>
        <w:tc>
          <w:tcPr>
            <w:tcW w:w="887" w:type="pct"/>
          </w:tcPr>
          <w:p w14:paraId="3218FB8B" w14:textId="77777777" w:rsidR="00A60494" w:rsidRPr="00B557CA" w:rsidRDefault="00A60494" w:rsidP="00CC50CF">
            <w:pPr>
              <w:pStyle w:val="Heading2"/>
              <w:spacing w:before="0" w:after="0"/>
              <w:rPr>
                <w:rFonts w:ascii="Arial" w:hAnsi="Arial" w:cs="Arial"/>
                <w:color w:val="auto"/>
                <w:sz w:val="22"/>
                <w:szCs w:val="22"/>
              </w:rPr>
            </w:pPr>
            <w:r w:rsidRPr="00B557CA">
              <w:rPr>
                <w:rFonts w:ascii="Arial" w:hAnsi="Arial" w:cs="Arial"/>
                <w:color w:val="auto"/>
                <w:sz w:val="22"/>
                <w:szCs w:val="22"/>
              </w:rPr>
              <w:t>£73,022</w:t>
            </w:r>
          </w:p>
          <w:p w14:paraId="0376CC8E" w14:textId="77777777" w:rsidR="00A60494" w:rsidRPr="00B557CA" w:rsidRDefault="00A60494" w:rsidP="00CC50CF">
            <w:pPr>
              <w:numPr>
                <w:ilvl w:val="0"/>
                <w:numId w:val="1"/>
              </w:numPr>
              <w:spacing w:after="0" w:line="240" w:lineRule="auto"/>
              <w:jc w:val="both"/>
              <w:rPr>
                <w:rFonts w:ascii="Arial" w:hAnsi="Arial" w:cs="Arial"/>
                <w:sz w:val="22"/>
                <w:szCs w:val="22"/>
                <w:lang w:val="en-US"/>
              </w:rPr>
            </w:pPr>
            <w:r w:rsidRPr="00B557CA">
              <w:rPr>
                <w:rFonts w:ascii="Arial" w:hAnsi="Arial" w:cs="Arial"/>
                <w:color w:val="auto"/>
                <w:sz w:val="22"/>
                <w:szCs w:val="22"/>
              </w:rPr>
              <w:t>£1,742</w:t>
            </w:r>
          </w:p>
          <w:p w14:paraId="7F921AE1" w14:textId="77777777" w:rsidR="00A60494" w:rsidRPr="00B557CA" w:rsidRDefault="00A60494" w:rsidP="00CC50CF">
            <w:pPr>
              <w:spacing w:after="0" w:line="240" w:lineRule="auto"/>
              <w:jc w:val="both"/>
              <w:rPr>
                <w:rFonts w:ascii="Arial" w:hAnsi="Arial" w:cs="Arial"/>
                <w:sz w:val="22"/>
                <w:szCs w:val="22"/>
                <w:lang w:val="en-US"/>
              </w:rPr>
            </w:pPr>
          </w:p>
          <w:p w14:paraId="231E2BE4" w14:textId="77777777" w:rsidR="00A60494" w:rsidRPr="00B557CA" w:rsidRDefault="00A60494" w:rsidP="00CC50CF">
            <w:pPr>
              <w:spacing w:after="0" w:line="240" w:lineRule="auto"/>
              <w:jc w:val="both"/>
              <w:rPr>
                <w:rFonts w:ascii="Arial" w:hAnsi="Arial" w:cs="Arial"/>
                <w:sz w:val="22"/>
                <w:szCs w:val="22"/>
                <w:lang w:val="en-US"/>
              </w:rPr>
            </w:pPr>
          </w:p>
          <w:p w14:paraId="578690EF" w14:textId="77777777" w:rsidR="00A60494" w:rsidRPr="00B557CA" w:rsidRDefault="00A60494" w:rsidP="00CC50CF">
            <w:pPr>
              <w:spacing w:after="0" w:line="240" w:lineRule="auto"/>
              <w:jc w:val="both"/>
              <w:rPr>
                <w:rFonts w:ascii="Arial" w:hAnsi="Arial" w:cs="Arial"/>
                <w:sz w:val="22"/>
                <w:szCs w:val="22"/>
                <w:lang w:val="en-US"/>
              </w:rPr>
            </w:pPr>
          </w:p>
          <w:p w14:paraId="6073091F" w14:textId="77777777" w:rsidR="00A60494" w:rsidRPr="00B557CA" w:rsidRDefault="00A60494" w:rsidP="00CC50CF">
            <w:pPr>
              <w:spacing w:after="0" w:line="240" w:lineRule="auto"/>
              <w:jc w:val="both"/>
              <w:rPr>
                <w:rFonts w:ascii="Arial" w:hAnsi="Arial" w:cs="Arial"/>
                <w:sz w:val="22"/>
                <w:szCs w:val="22"/>
                <w:lang w:val="en-US"/>
              </w:rPr>
            </w:pPr>
          </w:p>
          <w:p w14:paraId="3831E478" w14:textId="77777777" w:rsidR="00A60494" w:rsidRPr="00B557CA" w:rsidRDefault="00A60494" w:rsidP="00CC50CF">
            <w:pPr>
              <w:spacing w:after="0" w:line="240" w:lineRule="auto"/>
              <w:jc w:val="both"/>
              <w:rPr>
                <w:rFonts w:ascii="Arial" w:hAnsi="Arial" w:cs="Arial"/>
                <w:sz w:val="22"/>
                <w:szCs w:val="22"/>
                <w:lang w:val="en-US"/>
              </w:rPr>
            </w:pPr>
          </w:p>
          <w:p w14:paraId="6D16B33F" w14:textId="77777777" w:rsidR="00A60494" w:rsidRPr="00B557CA" w:rsidRDefault="00A60494" w:rsidP="00CC50CF">
            <w:pPr>
              <w:spacing w:after="0" w:line="240" w:lineRule="auto"/>
              <w:jc w:val="both"/>
              <w:rPr>
                <w:rFonts w:ascii="Arial" w:hAnsi="Arial" w:cs="Arial"/>
                <w:sz w:val="22"/>
                <w:szCs w:val="22"/>
                <w:lang w:val="en-US"/>
              </w:rPr>
            </w:pPr>
          </w:p>
          <w:p w14:paraId="1AE7680F" w14:textId="77777777" w:rsidR="00A60494" w:rsidRPr="00B557CA" w:rsidRDefault="00A60494" w:rsidP="00CC50CF">
            <w:pPr>
              <w:spacing w:after="0" w:line="240" w:lineRule="auto"/>
              <w:jc w:val="both"/>
              <w:rPr>
                <w:rFonts w:ascii="Arial" w:hAnsi="Arial" w:cs="Arial"/>
                <w:sz w:val="22"/>
                <w:szCs w:val="22"/>
                <w:lang w:val="en-US"/>
              </w:rPr>
            </w:pPr>
          </w:p>
          <w:p w14:paraId="3A8FB7C7" w14:textId="77777777" w:rsidR="00A60494" w:rsidRPr="00B557CA" w:rsidRDefault="00A60494" w:rsidP="00CC50CF">
            <w:pPr>
              <w:spacing w:after="0" w:line="240" w:lineRule="auto"/>
              <w:jc w:val="both"/>
              <w:rPr>
                <w:rFonts w:ascii="Arial" w:hAnsi="Arial" w:cs="Arial"/>
                <w:sz w:val="22"/>
                <w:szCs w:val="22"/>
                <w:lang w:val="en-US"/>
              </w:rPr>
            </w:pPr>
          </w:p>
          <w:p w14:paraId="368A2D34" w14:textId="77777777" w:rsidR="00A60494" w:rsidRPr="00B557CA" w:rsidRDefault="00A60494" w:rsidP="00CC50CF">
            <w:pPr>
              <w:spacing w:after="0" w:line="240" w:lineRule="auto"/>
              <w:jc w:val="both"/>
              <w:rPr>
                <w:rFonts w:ascii="Arial" w:hAnsi="Arial" w:cs="Arial"/>
                <w:sz w:val="22"/>
                <w:szCs w:val="22"/>
                <w:lang w:val="en-US"/>
              </w:rPr>
            </w:pPr>
          </w:p>
          <w:p w14:paraId="6DF4EA8C" w14:textId="77777777" w:rsidR="00A60494" w:rsidRPr="00B557CA" w:rsidRDefault="00A60494" w:rsidP="00CC50CF">
            <w:pPr>
              <w:spacing w:after="0" w:line="240" w:lineRule="auto"/>
              <w:jc w:val="both"/>
              <w:rPr>
                <w:rFonts w:ascii="Arial" w:hAnsi="Arial" w:cs="Arial"/>
                <w:sz w:val="22"/>
                <w:szCs w:val="22"/>
                <w:lang w:val="en-US"/>
              </w:rPr>
            </w:pPr>
          </w:p>
          <w:p w14:paraId="67D6E1B6" w14:textId="77777777" w:rsidR="00A60494" w:rsidRPr="00B557CA" w:rsidRDefault="00A60494" w:rsidP="00CC50CF">
            <w:pPr>
              <w:spacing w:after="0" w:line="240" w:lineRule="auto"/>
              <w:jc w:val="both"/>
              <w:rPr>
                <w:rFonts w:ascii="Arial" w:hAnsi="Arial" w:cs="Arial"/>
                <w:sz w:val="22"/>
                <w:szCs w:val="22"/>
                <w:lang w:val="en-US"/>
              </w:rPr>
            </w:pPr>
          </w:p>
          <w:p w14:paraId="399DEFD7" w14:textId="77777777" w:rsidR="00A60494" w:rsidRPr="00B557CA" w:rsidRDefault="00A60494" w:rsidP="00CC50CF">
            <w:pPr>
              <w:spacing w:after="0" w:line="240" w:lineRule="auto"/>
              <w:jc w:val="both"/>
              <w:rPr>
                <w:rFonts w:ascii="Arial" w:hAnsi="Arial" w:cs="Arial"/>
                <w:color w:val="auto"/>
                <w:sz w:val="22"/>
                <w:szCs w:val="22"/>
              </w:rPr>
            </w:pPr>
            <w:r w:rsidRPr="00B557CA">
              <w:rPr>
                <w:rFonts w:ascii="Arial" w:hAnsi="Arial" w:cs="Arial"/>
                <w:color w:val="auto"/>
                <w:sz w:val="22"/>
                <w:szCs w:val="22"/>
              </w:rPr>
              <w:t>£17,399</w:t>
            </w:r>
          </w:p>
          <w:p w14:paraId="7B06D415" w14:textId="77777777" w:rsidR="00A60494" w:rsidRPr="00B557CA" w:rsidRDefault="00A60494" w:rsidP="00CC50CF">
            <w:pPr>
              <w:spacing w:after="0" w:line="240" w:lineRule="auto"/>
              <w:jc w:val="both"/>
              <w:rPr>
                <w:rFonts w:ascii="Arial" w:hAnsi="Arial" w:cs="Arial"/>
                <w:sz w:val="22"/>
                <w:szCs w:val="22"/>
                <w:lang w:val="en-US"/>
              </w:rPr>
            </w:pPr>
          </w:p>
          <w:p w14:paraId="500326AF" w14:textId="77777777" w:rsidR="00A60494" w:rsidRPr="00B557CA" w:rsidRDefault="00A60494" w:rsidP="00CC50CF">
            <w:pPr>
              <w:spacing w:after="0" w:line="240" w:lineRule="auto"/>
              <w:jc w:val="both"/>
              <w:rPr>
                <w:rFonts w:ascii="Arial" w:hAnsi="Arial" w:cs="Arial"/>
                <w:sz w:val="22"/>
                <w:szCs w:val="22"/>
                <w:lang w:val="en-US"/>
              </w:rPr>
            </w:pPr>
          </w:p>
          <w:p w14:paraId="23EFE78F" w14:textId="77777777" w:rsidR="00A60494" w:rsidRPr="00B557CA" w:rsidRDefault="00A60494" w:rsidP="00CC50CF">
            <w:pPr>
              <w:spacing w:after="0" w:line="240" w:lineRule="auto"/>
              <w:jc w:val="both"/>
              <w:rPr>
                <w:rFonts w:ascii="Arial" w:hAnsi="Arial" w:cs="Arial"/>
                <w:sz w:val="22"/>
                <w:szCs w:val="22"/>
                <w:lang w:val="en-US"/>
              </w:rPr>
            </w:pPr>
          </w:p>
          <w:p w14:paraId="45932693" w14:textId="77777777" w:rsidR="00A60494" w:rsidRPr="00B557CA" w:rsidRDefault="00A60494" w:rsidP="00CC50CF">
            <w:pPr>
              <w:spacing w:after="0" w:line="240" w:lineRule="auto"/>
              <w:jc w:val="both"/>
              <w:rPr>
                <w:rFonts w:ascii="Arial" w:hAnsi="Arial" w:cs="Arial"/>
                <w:sz w:val="22"/>
                <w:szCs w:val="22"/>
                <w:lang w:val="en-US"/>
              </w:rPr>
            </w:pPr>
          </w:p>
          <w:p w14:paraId="393BB623" w14:textId="77777777" w:rsidR="00A60494" w:rsidRPr="00B557CA" w:rsidRDefault="00A60494" w:rsidP="00CC50CF">
            <w:pPr>
              <w:spacing w:after="0" w:line="240" w:lineRule="auto"/>
              <w:jc w:val="both"/>
              <w:rPr>
                <w:rFonts w:ascii="Arial" w:hAnsi="Arial" w:cs="Arial"/>
                <w:sz w:val="22"/>
                <w:szCs w:val="22"/>
                <w:lang w:val="en-US"/>
              </w:rPr>
            </w:pPr>
          </w:p>
          <w:p w14:paraId="42C7234C" w14:textId="77777777" w:rsidR="00A60494" w:rsidRPr="00B557CA" w:rsidRDefault="00A60494" w:rsidP="00CC50CF">
            <w:pPr>
              <w:spacing w:after="0" w:line="240" w:lineRule="auto"/>
              <w:jc w:val="both"/>
              <w:rPr>
                <w:rFonts w:ascii="Arial" w:hAnsi="Arial" w:cs="Arial"/>
                <w:sz w:val="22"/>
                <w:szCs w:val="22"/>
                <w:lang w:val="en-US"/>
              </w:rPr>
            </w:pPr>
          </w:p>
          <w:p w14:paraId="6CA1F87E" w14:textId="77777777" w:rsidR="00A60494" w:rsidRPr="00B557CA" w:rsidRDefault="00A60494" w:rsidP="00CC50CF">
            <w:pPr>
              <w:spacing w:after="0" w:line="240" w:lineRule="auto"/>
              <w:jc w:val="both"/>
              <w:rPr>
                <w:rFonts w:ascii="Arial" w:hAnsi="Arial" w:cs="Arial"/>
                <w:sz w:val="22"/>
                <w:szCs w:val="22"/>
                <w:lang w:val="en-US"/>
              </w:rPr>
            </w:pPr>
          </w:p>
          <w:p w14:paraId="1CC6EA78" w14:textId="77777777" w:rsidR="00A60494" w:rsidRPr="00B557CA" w:rsidRDefault="00A60494" w:rsidP="00CC50CF">
            <w:pPr>
              <w:spacing w:after="0" w:line="240" w:lineRule="auto"/>
              <w:jc w:val="both"/>
              <w:rPr>
                <w:rFonts w:ascii="Arial" w:hAnsi="Arial" w:cs="Arial"/>
                <w:sz w:val="22"/>
                <w:szCs w:val="22"/>
                <w:lang w:val="en-US"/>
              </w:rPr>
            </w:pPr>
          </w:p>
          <w:p w14:paraId="161DB844" w14:textId="77777777" w:rsidR="00A60494" w:rsidRPr="00B557CA" w:rsidRDefault="00A60494" w:rsidP="00CC50CF">
            <w:pPr>
              <w:spacing w:after="0" w:line="240" w:lineRule="auto"/>
              <w:jc w:val="both"/>
              <w:rPr>
                <w:rFonts w:ascii="Arial" w:hAnsi="Arial" w:cs="Arial"/>
                <w:sz w:val="22"/>
                <w:szCs w:val="22"/>
                <w:lang w:val="en-US"/>
              </w:rPr>
            </w:pPr>
          </w:p>
          <w:p w14:paraId="0D32C4CD" w14:textId="77777777" w:rsidR="00A60494" w:rsidRPr="00B557CA" w:rsidRDefault="00A60494" w:rsidP="00CC50CF">
            <w:pPr>
              <w:spacing w:after="0" w:line="240" w:lineRule="auto"/>
              <w:jc w:val="both"/>
              <w:rPr>
                <w:rFonts w:ascii="Arial" w:hAnsi="Arial" w:cs="Arial"/>
                <w:sz w:val="22"/>
                <w:szCs w:val="22"/>
                <w:lang w:val="en-US"/>
              </w:rPr>
            </w:pPr>
          </w:p>
          <w:p w14:paraId="6FB49382" w14:textId="77777777" w:rsidR="00A60494" w:rsidRPr="00B557CA" w:rsidRDefault="00A60494" w:rsidP="00CC50CF">
            <w:pPr>
              <w:spacing w:after="0" w:line="240" w:lineRule="auto"/>
              <w:jc w:val="both"/>
              <w:rPr>
                <w:rFonts w:ascii="Arial" w:hAnsi="Arial" w:cs="Arial"/>
                <w:sz w:val="22"/>
                <w:szCs w:val="22"/>
                <w:lang w:val="en-US"/>
              </w:rPr>
            </w:pPr>
          </w:p>
          <w:p w14:paraId="7D8BD46A" w14:textId="77777777" w:rsidR="00A60494" w:rsidRPr="00B557CA" w:rsidRDefault="00A60494" w:rsidP="00CC50CF">
            <w:pPr>
              <w:spacing w:after="0" w:line="240" w:lineRule="auto"/>
              <w:jc w:val="both"/>
              <w:rPr>
                <w:rFonts w:ascii="Arial" w:hAnsi="Arial" w:cs="Arial"/>
                <w:sz w:val="22"/>
                <w:szCs w:val="22"/>
                <w:lang w:val="en-US"/>
              </w:rPr>
            </w:pPr>
          </w:p>
          <w:p w14:paraId="7860DFD0" w14:textId="77777777" w:rsidR="00A60494" w:rsidRPr="00B557CA" w:rsidRDefault="00A60494" w:rsidP="00CC50CF">
            <w:pPr>
              <w:spacing w:after="0" w:line="240" w:lineRule="auto"/>
              <w:jc w:val="both"/>
              <w:rPr>
                <w:rFonts w:ascii="Arial" w:hAnsi="Arial" w:cs="Arial"/>
                <w:sz w:val="22"/>
                <w:szCs w:val="22"/>
                <w:lang w:val="en-US"/>
              </w:rPr>
            </w:pPr>
          </w:p>
          <w:p w14:paraId="377731C3" w14:textId="77777777" w:rsidR="00A60494" w:rsidRPr="00B557CA" w:rsidRDefault="00A60494" w:rsidP="00CC50CF">
            <w:pPr>
              <w:spacing w:after="0" w:line="240" w:lineRule="auto"/>
              <w:jc w:val="both"/>
              <w:rPr>
                <w:rFonts w:ascii="Arial" w:hAnsi="Arial" w:cs="Arial"/>
                <w:sz w:val="22"/>
                <w:szCs w:val="22"/>
                <w:lang w:val="en-US"/>
              </w:rPr>
            </w:pPr>
          </w:p>
          <w:p w14:paraId="72BCE1C6" w14:textId="77777777" w:rsidR="00A60494" w:rsidRPr="00B557CA" w:rsidRDefault="00A60494" w:rsidP="00CC50CF">
            <w:pPr>
              <w:spacing w:after="0" w:line="240" w:lineRule="auto"/>
              <w:jc w:val="both"/>
              <w:rPr>
                <w:rFonts w:ascii="Arial" w:hAnsi="Arial" w:cs="Arial"/>
                <w:sz w:val="22"/>
                <w:szCs w:val="22"/>
                <w:lang w:val="en-US"/>
              </w:rPr>
            </w:pPr>
          </w:p>
          <w:p w14:paraId="532E6443" w14:textId="77777777" w:rsidR="00A60494" w:rsidRPr="00B557CA" w:rsidRDefault="00A60494" w:rsidP="00CC50CF">
            <w:pPr>
              <w:spacing w:after="0" w:line="240" w:lineRule="auto"/>
              <w:jc w:val="both"/>
              <w:rPr>
                <w:rFonts w:ascii="Arial" w:hAnsi="Arial" w:cs="Arial"/>
                <w:sz w:val="22"/>
                <w:szCs w:val="22"/>
                <w:lang w:val="en-US"/>
              </w:rPr>
            </w:pPr>
          </w:p>
          <w:p w14:paraId="35C93795" w14:textId="77777777" w:rsidR="00A60494" w:rsidRPr="00B557CA" w:rsidRDefault="00A60494" w:rsidP="00CC50CF">
            <w:pPr>
              <w:spacing w:after="0" w:line="240" w:lineRule="auto"/>
              <w:jc w:val="both"/>
              <w:rPr>
                <w:rFonts w:ascii="Arial" w:hAnsi="Arial" w:cs="Arial"/>
                <w:sz w:val="22"/>
                <w:szCs w:val="22"/>
                <w:lang w:val="en-US"/>
              </w:rPr>
            </w:pPr>
            <w:r w:rsidRPr="00B557CA">
              <w:rPr>
                <w:rFonts w:ascii="Arial" w:hAnsi="Arial" w:cs="Arial"/>
                <w:sz w:val="22"/>
                <w:szCs w:val="22"/>
                <w:lang w:val="en-US"/>
              </w:rPr>
              <w:t>£24,066</w:t>
            </w:r>
          </w:p>
          <w:p w14:paraId="03660F6C" w14:textId="77777777" w:rsidR="00A60494" w:rsidRPr="00B557CA" w:rsidRDefault="00A60494" w:rsidP="00CC50CF">
            <w:pPr>
              <w:rPr>
                <w:rFonts w:ascii="Arial" w:hAnsi="Arial" w:cs="Arial"/>
                <w:sz w:val="22"/>
                <w:szCs w:val="22"/>
                <w:lang w:val="en-US"/>
              </w:rPr>
            </w:pPr>
          </w:p>
          <w:p w14:paraId="7D6A4FDD" w14:textId="77777777" w:rsidR="00A60494" w:rsidRPr="00B557CA" w:rsidRDefault="00A60494" w:rsidP="00CC50CF">
            <w:pPr>
              <w:rPr>
                <w:rFonts w:ascii="Arial" w:hAnsi="Arial" w:cs="Arial"/>
                <w:sz w:val="22"/>
                <w:szCs w:val="22"/>
                <w:lang w:val="en-US"/>
              </w:rPr>
            </w:pPr>
          </w:p>
          <w:p w14:paraId="7286C2E0" w14:textId="77777777" w:rsidR="00A60494" w:rsidRPr="00B557CA" w:rsidRDefault="00A60494" w:rsidP="00CC50CF">
            <w:pPr>
              <w:rPr>
                <w:rFonts w:ascii="Arial" w:hAnsi="Arial" w:cs="Arial"/>
                <w:sz w:val="22"/>
                <w:szCs w:val="22"/>
                <w:lang w:val="en-US"/>
              </w:rPr>
            </w:pPr>
          </w:p>
          <w:p w14:paraId="36EEF34D" w14:textId="77777777" w:rsidR="00A60494" w:rsidRPr="00B557CA" w:rsidRDefault="00A60494" w:rsidP="00CC50CF">
            <w:pPr>
              <w:jc w:val="center"/>
              <w:rPr>
                <w:rFonts w:ascii="Arial" w:hAnsi="Arial" w:cs="Arial"/>
                <w:sz w:val="22"/>
                <w:szCs w:val="22"/>
                <w:lang w:val="en-US"/>
              </w:rPr>
            </w:pPr>
          </w:p>
          <w:p w14:paraId="07F8A86B" w14:textId="77777777" w:rsidR="00A60494" w:rsidRPr="00B557CA" w:rsidRDefault="00A60494" w:rsidP="00CC50CF">
            <w:pPr>
              <w:rPr>
                <w:rFonts w:ascii="Arial" w:hAnsi="Arial" w:cs="Arial"/>
                <w:sz w:val="22"/>
                <w:szCs w:val="22"/>
              </w:rPr>
            </w:pPr>
          </w:p>
          <w:p w14:paraId="6961C35F" w14:textId="77777777" w:rsidR="00A60494" w:rsidRPr="00B557CA" w:rsidRDefault="00A60494" w:rsidP="00CC50CF">
            <w:pPr>
              <w:rPr>
                <w:rFonts w:ascii="Arial" w:hAnsi="Arial" w:cs="Arial"/>
                <w:sz w:val="22"/>
                <w:szCs w:val="22"/>
              </w:rPr>
            </w:pPr>
          </w:p>
          <w:p w14:paraId="6690FDAF" w14:textId="77777777" w:rsidR="00A60494" w:rsidRPr="00B557CA" w:rsidRDefault="00A60494" w:rsidP="00CC50CF">
            <w:pPr>
              <w:rPr>
                <w:rFonts w:ascii="Arial" w:hAnsi="Arial" w:cs="Arial"/>
                <w:sz w:val="22"/>
                <w:szCs w:val="22"/>
                <w:lang w:val="en-US"/>
              </w:rPr>
            </w:pPr>
            <w:r w:rsidRPr="00B557CA">
              <w:rPr>
                <w:rFonts w:ascii="Arial" w:hAnsi="Arial" w:cs="Arial"/>
                <w:color w:val="auto"/>
                <w:sz w:val="22"/>
                <w:szCs w:val="22"/>
              </w:rPr>
              <w:t>£29,815</w:t>
            </w:r>
          </w:p>
        </w:tc>
        <w:tc>
          <w:tcPr>
            <w:tcW w:w="2369" w:type="pct"/>
          </w:tcPr>
          <w:p w14:paraId="3D2EF9A3" w14:textId="29C46A22" w:rsidR="0032547F" w:rsidRPr="00B557CA" w:rsidRDefault="0032547F" w:rsidP="0032547F">
            <w:pPr>
              <w:numPr>
                <w:ilvl w:val="0"/>
                <w:numId w:val="1"/>
              </w:numPr>
              <w:spacing w:after="0" w:line="240" w:lineRule="auto"/>
              <w:jc w:val="both"/>
              <w:rPr>
                <w:rFonts w:ascii="Arial" w:hAnsi="Arial" w:cs="Arial"/>
                <w:sz w:val="22"/>
                <w:szCs w:val="22"/>
                <w:lang w:val="en-US"/>
              </w:rPr>
            </w:pPr>
            <w:r w:rsidRPr="00B557CA">
              <w:rPr>
                <w:rFonts w:ascii="Arial" w:hAnsi="Arial" w:cs="Arial"/>
                <w:color w:val="auto"/>
                <w:sz w:val="22"/>
                <w:szCs w:val="22"/>
              </w:rPr>
              <w:t xml:space="preserve">CPD allowed upskilling staff and providing further training in a range of subjects, both subject based and in the areas of pastoral/ inclusion. This </w:t>
            </w:r>
            <w:r w:rsidR="00650C68" w:rsidRPr="00B557CA">
              <w:rPr>
                <w:rFonts w:ascii="Arial" w:hAnsi="Arial" w:cs="Arial"/>
                <w:color w:val="auto"/>
                <w:sz w:val="22"/>
                <w:szCs w:val="22"/>
              </w:rPr>
              <w:t xml:space="preserve">ultimately allowed improved </w:t>
            </w:r>
            <w:r w:rsidRPr="00B557CA">
              <w:rPr>
                <w:rFonts w:ascii="Arial" w:hAnsi="Arial" w:cs="Arial"/>
                <w:sz w:val="22"/>
                <w:szCs w:val="22"/>
              </w:rPr>
              <w:t>academic outcomes and wellbeing support for disadvantaged students.</w:t>
            </w:r>
          </w:p>
          <w:p w14:paraId="1CF686B4" w14:textId="4E2BC652" w:rsidR="00A60494" w:rsidRPr="00B557CA" w:rsidRDefault="00A60494" w:rsidP="00541678">
            <w:pPr>
              <w:numPr>
                <w:ilvl w:val="0"/>
                <w:numId w:val="1"/>
              </w:numPr>
              <w:spacing w:after="0" w:line="240" w:lineRule="auto"/>
              <w:jc w:val="both"/>
              <w:rPr>
                <w:rFonts w:ascii="Arial" w:hAnsi="Arial" w:cs="Arial"/>
                <w:sz w:val="22"/>
                <w:szCs w:val="22"/>
                <w:lang w:val="en-US"/>
              </w:rPr>
            </w:pPr>
          </w:p>
          <w:p w14:paraId="389A7A90" w14:textId="6252FD2F"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The Inclusion Team wor</w:t>
            </w:r>
            <w:r w:rsidR="00C82BEF" w:rsidRPr="00B557CA">
              <w:rPr>
                <w:rFonts w:ascii="Arial" w:hAnsi="Arial" w:cs="Arial"/>
                <w:sz w:val="22"/>
                <w:szCs w:val="22"/>
              </w:rPr>
              <w:t>ked</w:t>
            </w:r>
            <w:r w:rsidRPr="00B557CA">
              <w:rPr>
                <w:rFonts w:ascii="Arial" w:hAnsi="Arial" w:cs="Arial"/>
                <w:sz w:val="22"/>
                <w:szCs w:val="22"/>
              </w:rPr>
              <w:t xml:space="preserve"> closely with PP students to identify and address barriers to learning, particularly for those with SEND, EAL and behavioural difficulties. By collaborating with external agencies, they provide</w:t>
            </w:r>
            <w:r w:rsidR="00C82BEF" w:rsidRPr="00B557CA">
              <w:rPr>
                <w:rFonts w:ascii="Arial" w:hAnsi="Arial" w:cs="Arial"/>
                <w:sz w:val="22"/>
                <w:szCs w:val="22"/>
              </w:rPr>
              <w:t>d</w:t>
            </w:r>
            <w:r w:rsidRPr="00B557CA">
              <w:rPr>
                <w:rFonts w:ascii="Arial" w:hAnsi="Arial" w:cs="Arial"/>
                <w:sz w:val="22"/>
                <w:szCs w:val="22"/>
              </w:rPr>
              <w:t xml:space="preserve"> holistic, personalised support. Interventions such as behaviour strategies, attendance support and well-being programs </w:t>
            </w:r>
            <w:r w:rsidR="00CF29C6" w:rsidRPr="00B557CA">
              <w:rPr>
                <w:rFonts w:ascii="Arial" w:hAnsi="Arial" w:cs="Arial"/>
                <w:sz w:val="22"/>
                <w:szCs w:val="22"/>
              </w:rPr>
              <w:t>allowed</w:t>
            </w:r>
            <w:r w:rsidRPr="00B557CA">
              <w:rPr>
                <w:rFonts w:ascii="Arial" w:hAnsi="Arial" w:cs="Arial"/>
                <w:sz w:val="22"/>
                <w:szCs w:val="22"/>
              </w:rPr>
              <w:t xml:space="preserve"> students </w:t>
            </w:r>
            <w:r w:rsidR="00CF29C6" w:rsidRPr="00B557CA">
              <w:rPr>
                <w:rFonts w:ascii="Arial" w:hAnsi="Arial" w:cs="Arial"/>
                <w:sz w:val="22"/>
                <w:szCs w:val="22"/>
              </w:rPr>
              <w:t xml:space="preserve">to </w:t>
            </w:r>
            <w:r w:rsidRPr="00B557CA">
              <w:rPr>
                <w:rFonts w:ascii="Arial" w:hAnsi="Arial" w:cs="Arial"/>
                <w:sz w:val="22"/>
                <w:szCs w:val="22"/>
              </w:rPr>
              <w:t xml:space="preserve">stay engaged in education. Mental health interventions </w:t>
            </w:r>
            <w:r w:rsidR="00CF29C6" w:rsidRPr="00B557CA">
              <w:rPr>
                <w:rFonts w:ascii="Arial" w:hAnsi="Arial" w:cs="Arial"/>
                <w:sz w:val="22"/>
                <w:szCs w:val="22"/>
              </w:rPr>
              <w:t>improved</w:t>
            </w:r>
            <w:r w:rsidRPr="00B557CA">
              <w:rPr>
                <w:rFonts w:ascii="Arial" w:hAnsi="Arial" w:cs="Arial"/>
                <w:sz w:val="22"/>
                <w:szCs w:val="22"/>
              </w:rPr>
              <w:t xml:space="preserve"> emotional regulation and participation in lessons, while attendance support reduc</w:t>
            </w:r>
            <w:r w:rsidR="00CF29C6" w:rsidRPr="00B557CA">
              <w:rPr>
                <w:rFonts w:ascii="Arial" w:hAnsi="Arial" w:cs="Arial"/>
                <w:sz w:val="22"/>
                <w:szCs w:val="22"/>
              </w:rPr>
              <w:t>ed</w:t>
            </w:r>
            <w:r w:rsidRPr="00B557CA">
              <w:rPr>
                <w:rFonts w:ascii="Arial" w:hAnsi="Arial" w:cs="Arial"/>
                <w:sz w:val="22"/>
                <w:szCs w:val="22"/>
              </w:rPr>
              <w:t xml:space="preserve"> absences, leading to better engagement and increased confidence. Overall, targeted support ensu</w:t>
            </w:r>
            <w:r w:rsidR="00CF29C6" w:rsidRPr="00B557CA">
              <w:rPr>
                <w:rFonts w:ascii="Arial" w:hAnsi="Arial" w:cs="Arial"/>
                <w:sz w:val="22"/>
                <w:szCs w:val="22"/>
              </w:rPr>
              <w:t>red</w:t>
            </w:r>
            <w:r w:rsidRPr="00B557CA">
              <w:rPr>
                <w:rFonts w:ascii="Arial" w:hAnsi="Arial" w:cs="Arial"/>
                <w:sz w:val="22"/>
                <w:szCs w:val="22"/>
              </w:rPr>
              <w:t xml:space="preserve"> that PP students ha</w:t>
            </w:r>
            <w:r w:rsidR="00CF29C6" w:rsidRPr="00B557CA">
              <w:rPr>
                <w:rFonts w:ascii="Arial" w:hAnsi="Arial" w:cs="Arial"/>
                <w:sz w:val="22"/>
                <w:szCs w:val="22"/>
              </w:rPr>
              <w:t>d</w:t>
            </w:r>
            <w:r w:rsidRPr="00B557CA">
              <w:rPr>
                <w:rFonts w:ascii="Arial" w:hAnsi="Arial" w:cs="Arial"/>
                <w:sz w:val="22"/>
                <w:szCs w:val="22"/>
              </w:rPr>
              <w:t xml:space="preserve"> the emotional and academic stability needed to succeed.</w:t>
            </w:r>
          </w:p>
          <w:p w14:paraId="195CB19E" w14:textId="77777777" w:rsidR="00A60494" w:rsidRPr="00B557CA" w:rsidRDefault="00A60494" w:rsidP="00CC50CF">
            <w:pPr>
              <w:spacing w:after="0" w:line="240" w:lineRule="auto"/>
              <w:jc w:val="both"/>
              <w:rPr>
                <w:rFonts w:ascii="Arial" w:hAnsi="Arial" w:cs="Arial"/>
                <w:sz w:val="22"/>
                <w:szCs w:val="22"/>
              </w:rPr>
            </w:pPr>
          </w:p>
          <w:p w14:paraId="1416C2EF" w14:textId="06C7A7A1"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 xml:space="preserve">Teachers </w:t>
            </w:r>
            <w:r w:rsidR="00CF29C6" w:rsidRPr="00B557CA">
              <w:rPr>
                <w:rFonts w:ascii="Arial" w:hAnsi="Arial" w:cs="Arial"/>
                <w:sz w:val="22"/>
                <w:szCs w:val="22"/>
              </w:rPr>
              <w:t>delivered</w:t>
            </w:r>
            <w:r w:rsidRPr="00B557CA">
              <w:rPr>
                <w:rFonts w:ascii="Arial" w:hAnsi="Arial" w:cs="Arial"/>
                <w:sz w:val="22"/>
                <w:szCs w:val="22"/>
              </w:rPr>
              <w:t xml:space="preserve"> Quality First Teaching with high expectations and tailored support for PP students. Through formative and summative assessments, they identif</w:t>
            </w:r>
            <w:r w:rsidR="00D03029" w:rsidRPr="00B557CA">
              <w:rPr>
                <w:rFonts w:ascii="Arial" w:hAnsi="Arial" w:cs="Arial"/>
                <w:sz w:val="22"/>
                <w:szCs w:val="22"/>
              </w:rPr>
              <w:t xml:space="preserve">ied </w:t>
            </w:r>
            <w:r w:rsidRPr="00B557CA">
              <w:rPr>
                <w:rFonts w:ascii="Arial" w:hAnsi="Arial" w:cs="Arial"/>
                <w:sz w:val="22"/>
                <w:szCs w:val="22"/>
              </w:rPr>
              <w:t>learning gaps and implement</w:t>
            </w:r>
            <w:r w:rsidR="00D03029" w:rsidRPr="00B557CA">
              <w:rPr>
                <w:rFonts w:ascii="Arial" w:hAnsi="Arial" w:cs="Arial"/>
                <w:sz w:val="22"/>
                <w:szCs w:val="22"/>
              </w:rPr>
              <w:t>ed</w:t>
            </w:r>
            <w:r w:rsidRPr="00B557CA">
              <w:rPr>
                <w:rFonts w:ascii="Arial" w:hAnsi="Arial" w:cs="Arial"/>
                <w:sz w:val="22"/>
                <w:szCs w:val="22"/>
              </w:rPr>
              <w:t xml:space="preserve"> targeted interventions to accelerate progress. Strong teacher-student relationships foster</w:t>
            </w:r>
            <w:r w:rsidR="00D03029" w:rsidRPr="00B557CA">
              <w:rPr>
                <w:rFonts w:ascii="Arial" w:hAnsi="Arial" w:cs="Arial"/>
                <w:sz w:val="22"/>
                <w:szCs w:val="22"/>
              </w:rPr>
              <w:t>ed</w:t>
            </w:r>
            <w:r w:rsidRPr="00B557CA">
              <w:rPr>
                <w:rFonts w:ascii="Arial" w:hAnsi="Arial" w:cs="Arial"/>
                <w:sz w:val="22"/>
                <w:szCs w:val="22"/>
              </w:rPr>
              <w:t xml:space="preserve"> motivation, confidence, and engagement, particularly for PP students who may lack support at home. By continuously adapting lessons to meet individual needs, teachers </w:t>
            </w:r>
            <w:r w:rsidR="00D03029" w:rsidRPr="00B557CA">
              <w:rPr>
                <w:rFonts w:ascii="Arial" w:hAnsi="Arial" w:cs="Arial"/>
                <w:sz w:val="22"/>
                <w:szCs w:val="22"/>
              </w:rPr>
              <w:t>improved</w:t>
            </w:r>
            <w:r w:rsidRPr="00B557CA">
              <w:rPr>
                <w:rFonts w:ascii="Arial" w:hAnsi="Arial" w:cs="Arial"/>
                <w:sz w:val="22"/>
                <w:szCs w:val="22"/>
              </w:rPr>
              <w:t xml:space="preserve"> literacy, numeracy, and critical thinking skills, raising attainment and boosting self-esteem and aspirations.</w:t>
            </w:r>
          </w:p>
          <w:p w14:paraId="4840F7B5" w14:textId="77777777" w:rsidR="00A60494" w:rsidRPr="00B557CA" w:rsidRDefault="00A60494" w:rsidP="00CC50CF">
            <w:pPr>
              <w:spacing w:after="0" w:line="240" w:lineRule="auto"/>
              <w:jc w:val="both"/>
              <w:rPr>
                <w:rFonts w:ascii="Arial" w:hAnsi="Arial" w:cs="Arial"/>
                <w:sz w:val="22"/>
                <w:szCs w:val="22"/>
                <w:lang w:val="en-US"/>
              </w:rPr>
            </w:pPr>
          </w:p>
          <w:p w14:paraId="7F6BAD06" w14:textId="6C1E4DEA" w:rsidR="00A60494" w:rsidRPr="00B557CA" w:rsidRDefault="00A60494" w:rsidP="00CC50CF">
            <w:pPr>
              <w:spacing w:after="0" w:line="240" w:lineRule="auto"/>
              <w:jc w:val="both"/>
              <w:rPr>
                <w:rFonts w:ascii="Arial" w:hAnsi="Arial" w:cs="Arial"/>
                <w:sz w:val="22"/>
                <w:szCs w:val="22"/>
                <w:lang w:val="en-US"/>
              </w:rPr>
            </w:pPr>
            <w:r w:rsidRPr="00B557CA">
              <w:rPr>
                <w:rFonts w:ascii="Arial" w:hAnsi="Arial" w:cs="Arial"/>
                <w:sz w:val="22"/>
                <w:szCs w:val="22"/>
              </w:rPr>
              <w:t xml:space="preserve">Teaching Assistants (TAs), </w:t>
            </w:r>
            <w:r w:rsidR="00BA61C7" w:rsidRPr="00B557CA">
              <w:rPr>
                <w:rFonts w:ascii="Arial" w:hAnsi="Arial" w:cs="Arial"/>
                <w:sz w:val="22"/>
                <w:szCs w:val="22"/>
              </w:rPr>
              <w:t>played</w:t>
            </w:r>
            <w:r w:rsidRPr="00B557CA">
              <w:rPr>
                <w:rFonts w:ascii="Arial" w:hAnsi="Arial" w:cs="Arial"/>
                <w:sz w:val="22"/>
                <w:szCs w:val="22"/>
              </w:rPr>
              <w:t xml:space="preserve"> a key role in reinforcing learning and providing emotional support. They deliver</w:t>
            </w:r>
            <w:r w:rsidR="00BA61C7" w:rsidRPr="00B557CA">
              <w:rPr>
                <w:rFonts w:ascii="Arial" w:hAnsi="Arial" w:cs="Arial"/>
                <w:sz w:val="22"/>
                <w:szCs w:val="22"/>
              </w:rPr>
              <w:t>ed</w:t>
            </w:r>
            <w:r w:rsidRPr="00B557CA">
              <w:rPr>
                <w:rFonts w:ascii="Arial" w:hAnsi="Arial" w:cs="Arial"/>
                <w:sz w:val="22"/>
                <w:szCs w:val="22"/>
              </w:rPr>
              <w:t xml:space="preserve"> one-to-one and small-group interventions, particularly in phonics and maths, helping PP students close learning gaps while building confidence, resilience, and emotional regulation</w:t>
            </w:r>
            <w:r w:rsidR="001D1EBA" w:rsidRPr="00B557CA">
              <w:rPr>
                <w:rFonts w:ascii="Arial" w:hAnsi="Arial" w:cs="Arial"/>
                <w:sz w:val="22"/>
                <w:szCs w:val="22"/>
              </w:rPr>
              <w:t>.</w:t>
            </w:r>
          </w:p>
        </w:tc>
      </w:tr>
      <w:tr w:rsidR="00A60494" w:rsidRPr="00B557CA" w14:paraId="5CFA825F" w14:textId="77777777" w:rsidTr="00D231F6">
        <w:trPr>
          <w:trHeight w:val="1811"/>
        </w:trPr>
        <w:tc>
          <w:tcPr>
            <w:tcW w:w="815" w:type="pct"/>
          </w:tcPr>
          <w:p w14:paraId="1959C957" w14:textId="77777777" w:rsidR="00A60494" w:rsidRPr="00B557CA" w:rsidRDefault="00A60494" w:rsidP="00CC50CF">
            <w:pPr>
              <w:spacing w:after="0" w:line="240" w:lineRule="auto"/>
              <w:rPr>
                <w:rFonts w:ascii="Arial" w:hAnsi="Arial" w:cs="Arial"/>
                <w:b/>
                <w:bCs/>
                <w:color w:val="auto"/>
                <w:sz w:val="22"/>
                <w:szCs w:val="22"/>
              </w:rPr>
            </w:pPr>
            <w:r w:rsidRPr="00B557CA">
              <w:rPr>
                <w:rFonts w:ascii="Arial" w:hAnsi="Arial" w:cs="Arial"/>
                <w:b/>
                <w:bCs/>
                <w:color w:val="auto"/>
                <w:sz w:val="22"/>
                <w:szCs w:val="22"/>
              </w:rPr>
              <w:t>Targeted academic support (resources, interventions)</w:t>
            </w:r>
          </w:p>
          <w:p w14:paraId="248DBDF6" w14:textId="77777777" w:rsidR="00A60494" w:rsidRPr="00B557CA" w:rsidRDefault="00A60494" w:rsidP="00CC50CF">
            <w:pPr>
              <w:spacing w:after="0" w:line="240" w:lineRule="auto"/>
              <w:rPr>
                <w:rFonts w:ascii="Arial" w:hAnsi="Arial" w:cs="Arial"/>
                <w:bCs/>
                <w:color w:val="auto"/>
                <w:sz w:val="22"/>
                <w:szCs w:val="22"/>
              </w:rPr>
            </w:pPr>
          </w:p>
        </w:tc>
        <w:tc>
          <w:tcPr>
            <w:tcW w:w="929" w:type="pct"/>
            <w:shd w:val="clear" w:color="auto" w:fill="auto"/>
          </w:tcPr>
          <w:p w14:paraId="6CBD5869" w14:textId="77777777" w:rsidR="00A60494" w:rsidRPr="006A19CB" w:rsidRDefault="00A60494" w:rsidP="00CC50CF">
            <w:pPr>
              <w:pStyle w:val="Heading2"/>
              <w:spacing w:before="0" w:after="0"/>
              <w:rPr>
                <w:rFonts w:ascii="Arial" w:hAnsi="Arial" w:cs="Arial"/>
                <w:b w:val="0"/>
                <w:color w:val="FF0000"/>
                <w:sz w:val="22"/>
                <w:szCs w:val="22"/>
              </w:rPr>
            </w:pPr>
            <w:r w:rsidRPr="006A19CB">
              <w:rPr>
                <w:rFonts w:ascii="Arial" w:hAnsi="Arial" w:cs="Arial"/>
                <w:b w:val="0"/>
                <w:color w:val="FF0000"/>
                <w:sz w:val="22"/>
                <w:szCs w:val="22"/>
              </w:rPr>
              <w:t>£0</w:t>
            </w:r>
          </w:p>
        </w:tc>
        <w:tc>
          <w:tcPr>
            <w:tcW w:w="887" w:type="pct"/>
          </w:tcPr>
          <w:p w14:paraId="36F5B060" w14:textId="77777777" w:rsidR="00A60494" w:rsidRPr="00B557CA" w:rsidRDefault="00A60494" w:rsidP="00CC50CF">
            <w:pPr>
              <w:spacing w:after="0" w:line="240" w:lineRule="auto"/>
              <w:rPr>
                <w:rFonts w:ascii="Arial" w:hAnsi="Arial" w:cs="Arial"/>
                <w:color w:val="auto"/>
                <w:sz w:val="22"/>
                <w:szCs w:val="22"/>
              </w:rPr>
            </w:pPr>
            <w:r w:rsidRPr="00B557CA">
              <w:rPr>
                <w:rFonts w:ascii="Arial" w:hAnsi="Arial" w:cs="Arial"/>
                <w:b/>
                <w:bCs/>
                <w:color w:val="auto"/>
                <w:sz w:val="22"/>
                <w:szCs w:val="22"/>
              </w:rPr>
              <w:t>£500</w:t>
            </w:r>
          </w:p>
          <w:p w14:paraId="0A7C3303" w14:textId="77777777" w:rsidR="00A60494" w:rsidRPr="00B557CA" w:rsidRDefault="00A60494" w:rsidP="00CC50CF">
            <w:pPr>
              <w:rPr>
                <w:rFonts w:ascii="Arial" w:hAnsi="Arial" w:cs="Arial"/>
                <w:sz w:val="22"/>
                <w:szCs w:val="22"/>
              </w:rPr>
            </w:pPr>
          </w:p>
        </w:tc>
        <w:tc>
          <w:tcPr>
            <w:tcW w:w="2369" w:type="pct"/>
          </w:tcPr>
          <w:p w14:paraId="59BDAF4A" w14:textId="26E076B2" w:rsidR="00A60494" w:rsidRPr="00B557CA" w:rsidRDefault="00BA61C7" w:rsidP="00CC50CF">
            <w:pPr>
              <w:rPr>
                <w:rFonts w:ascii="Arial" w:hAnsi="Arial" w:cs="Arial"/>
                <w:sz w:val="22"/>
                <w:szCs w:val="22"/>
              </w:rPr>
            </w:pPr>
            <w:r w:rsidRPr="00B557CA">
              <w:rPr>
                <w:rFonts w:ascii="Arial" w:hAnsi="Arial" w:cs="Arial"/>
                <w:sz w:val="22"/>
                <w:szCs w:val="22"/>
              </w:rPr>
              <w:t xml:space="preserve">This funding was used to </w:t>
            </w:r>
            <w:r w:rsidR="00B6381A" w:rsidRPr="00B557CA">
              <w:rPr>
                <w:rFonts w:ascii="Arial" w:hAnsi="Arial" w:cs="Arial"/>
                <w:sz w:val="22"/>
                <w:szCs w:val="22"/>
              </w:rPr>
              <w:t xml:space="preserve">pay for school funded </w:t>
            </w:r>
            <w:r w:rsidR="00A60494" w:rsidRPr="00B557CA">
              <w:rPr>
                <w:rFonts w:ascii="Arial" w:hAnsi="Arial" w:cs="Arial"/>
                <w:sz w:val="22"/>
                <w:szCs w:val="22"/>
              </w:rPr>
              <w:t>Rocksteady placements</w:t>
            </w:r>
            <w:r w:rsidR="002343B7">
              <w:rPr>
                <w:rFonts w:ascii="Arial" w:hAnsi="Arial" w:cs="Arial"/>
                <w:sz w:val="22"/>
                <w:szCs w:val="22"/>
              </w:rPr>
              <w:t xml:space="preserve">, </w:t>
            </w:r>
            <w:r w:rsidR="00B6381A" w:rsidRPr="00B557CA">
              <w:rPr>
                <w:rFonts w:ascii="Arial" w:hAnsi="Arial" w:cs="Arial"/>
                <w:sz w:val="22"/>
                <w:szCs w:val="22"/>
              </w:rPr>
              <w:t>where pupil premium children were selected to participate. This</w:t>
            </w:r>
            <w:r w:rsidR="00A60494" w:rsidRPr="00B557CA">
              <w:rPr>
                <w:rFonts w:ascii="Arial" w:hAnsi="Arial" w:cs="Arial"/>
                <w:sz w:val="22"/>
                <w:szCs w:val="22"/>
              </w:rPr>
              <w:t xml:space="preserve"> help</w:t>
            </w:r>
            <w:r w:rsidR="00B6381A" w:rsidRPr="00B557CA">
              <w:rPr>
                <w:rFonts w:ascii="Arial" w:hAnsi="Arial" w:cs="Arial"/>
                <w:sz w:val="22"/>
                <w:szCs w:val="22"/>
              </w:rPr>
              <w:t>ed</w:t>
            </w:r>
            <w:r w:rsidR="00A60494" w:rsidRPr="00B557CA">
              <w:rPr>
                <w:rFonts w:ascii="Arial" w:hAnsi="Arial" w:cs="Arial"/>
                <w:sz w:val="22"/>
                <w:szCs w:val="22"/>
              </w:rPr>
              <w:t xml:space="preserve"> our vulnerable children build confidence and learn a new instrument. This initiative  nurture</w:t>
            </w:r>
            <w:r w:rsidR="00E80700" w:rsidRPr="00B557CA">
              <w:rPr>
                <w:rFonts w:ascii="Arial" w:hAnsi="Arial" w:cs="Arial"/>
                <w:sz w:val="22"/>
                <w:szCs w:val="22"/>
              </w:rPr>
              <w:t>d</w:t>
            </w:r>
            <w:r w:rsidR="00A60494" w:rsidRPr="00B557CA">
              <w:rPr>
                <w:rFonts w:ascii="Arial" w:hAnsi="Arial" w:cs="Arial"/>
                <w:sz w:val="22"/>
                <w:szCs w:val="22"/>
              </w:rPr>
              <w:t xml:space="preserve"> their creativity and empower</w:t>
            </w:r>
            <w:r w:rsidR="00E42083" w:rsidRPr="00B557CA">
              <w:rPr>
                <w:rFonts w:ascii="Arial" w:hAnsi="Arial" w:cs="Arial"/>
                <w:sz w:val="22"/>
                <w:szCs w:val="22"/>
              </w:rPr>
              <w:t>ed</w:t>
            </w:r>
            <w:r w:rsidR="00A60494" w:rsidRPr="00B557CA">
              <w:rPr>
                <w:rFonts w:ascii="Arial" w:hAnsi="Arial" w:cs="Arial"/>
                <w:sz w:val="22"/>
                <w:szCs w:val="22"/>
              </w:rPr>
              <w:t xml:space="preserve"> them to thrive through music. </w:t>
            </w:r>
          </w:p>
        </w:tc>
      </w:tr>
      <w:tr w:rsidR="00A60494" w:rsidRPr="00B557CA" w14:paraId="18C2CDD4" w14:textId="77777777" w:rsidTr="00D231F6">
        <w:trPr>
          <w:trHeight w:val="2611"/>
        </w:trPr>
        <w:tc>
          <w:tcPr>
            <w:tcW w:w="815" w:type="pct"/>
          </w:tcPr>
          <w:p w14:paraId="11686436" w14:textId="77777777" w:rsidR="00A60494" w:rsidRPr="00B557CA" w:rsidRDefault="00A60494" w:rsidP="00CC50CF">
            <w:pPr>
              <w:spacing w:after="0" w:line="240" w:lineRule="auto"/>
              <w:rPr>
                <w:rFonts w:ascii="Arial" w:hAnsi="Arial" w:cs="Arial"/>
                <w:b/>
                <w:color w:val="auto"/>
                <w:sz w:val="22"/>
                <w:szCs w:val="22"/>
              </w:rPr>
            </w:pPr>
            <w:r w:rsidRPr="00B557CA">
              <w:rPr>
                <w:rFonts w:ascii="Arial" w:hAnsi="Arial" w:cs="Arial"/>
                <w:b/>
                <w:color w:val="auto"/>
                <w:sz w:val="22"/>
                <w:szCs w:val="22"/>
              </w:rPr>
              <w:t>Wider strategies (for example, related to attendance, behaviour and wellbeing)</w:t>
            </w:r>
          </w:p>
          <w:p w14:paraId="6CD91C18" w14:textId="77777777" w:rsidR="00A60494" w:rsidRPr="00B557CA" w:rsidRDefault="00A60494" w:rsidP="00CC50CF">
            <w:pPr>
              <w:spacing w:after="0" w:line="240" w:lineRule="auto"/>
              <w:rPr>
                <w:rFonts w:ascii="Arial" w:hAnsi="Arial" w:cs="Arial"/>
                <w:bCs/>
                <w:color w:val="auto"/>
                <w:sz w:val="22"/>
                <w:szCs w:val="22"/>
              </w:rPr>
            </w:pPr>
          </w:p>
        </w:tc>
        <w:tc>
          <w:tcPr>
            <w:tcW w:w="929" w:type="pct"/>
            <w:shd w:val="clear" w:color="auto" w:fill="auto"/>
          </w:tcPr>
          <w:p w14:paraId="6017B290" w14:textId="77777777" w:rsidR="00A60494" w:rsidRPr="006A19CB" w:rsidRDefault="00A60494" w:rsidP="00CC50CF">
            <w:pPr>
              <w:pStyle w:val="Heading2"/>
              <w:spacing w:before="0" w:after="0"/>
              <w:rPr>
                <w:rFonts w:ascii="Arial" w:hAnsi="Arial" w:cs="Arial"/>
                <w:bCs/>
                <w:color w:val="FF0000"/>
                <w:sz w:val="22"/>
                <w:szCs w:val="22"/>
              </w:rPr>
            </w:pPr>
            <w:r w:rsidRPr="006A19CB">
              <w:rPr>
                <w:rFonts w:ascii="Arial" w:hAnsi="Arial" w:cs="Arial"/>
                <w:bCs/>
                <w:color w:val="FF0000"/>
                <w:sz w:val="22"/>
                <w:szCs w:val="22"/>
              </w:rPr>
              <w:t>£2,913</w:t>
            </w:r>
          </w:p>
          <w:p w14:paraId="082A233F"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£1,790 (ELSA)</w:t>
            </w:r>
          </w:p>
          <w:p w14:paraId="5396CEB3" w14:textId="77777777" w:rsidR="00A60494" w:rsidRPr="006A19CB" w:rsidRDefault="00A60494" w:rsidP="00CC50CF">
            <w:pPr>
              <w:rPr>
                <w:rFonts w:ascii="Arial" w:hAnsi="Arial" w:cs="Arial"/>
                <w:color w:val="FF0000"/>
                <w:sz w:val="22"/>
                <w:szCs w:val="22"/>
              </w:rPr>
            </w:pPr>
            <w:r w:rsidRPr="006A19CB">
              <w:rPr>
                <w:rFonts w:ascii="Arial" w:hAnsi="Arial" w:cs="Arial"/>
                <w:color w:val="FF0000"/>
                <w:sz w:val="22"/>
                <w:szCs w:val="22"/>
              </w:rPr>
              <w:t>£1,123 (Home Link Worker)</w:t>
            </w:r>
          </w:p>
        </w:tc>
        <w:tc>
          <w:tcPr>
            <w:tcW w:w="887" w:type="pct"/>
          </w:tcPr>
          <w:p w14:paraId="5B848650" w14:textId="77777777" w:rsidR="00A60494" w:rsidRPr="00B557CA" w:rsidRDefault="00A60494" w:rsidP="00CC50CF">
            <w:pPr>
              <w:spacing w:after="0" w:line="240" w:lineRule="auto"/>
              <w:jc w:val="both"/>
              <w:rPr>
                <w:rFonts w:ascii="Arial" w:hAnsi="Arial" w:cs="Arial"/>
                <w:b/>
                <w:bCs/>
                <w:sz w:val="22"/>
                <w:szCs w:val="22"/>
                <w:lang w:val="en-US"/>
              </w:rPr>
            </w:pPr>
            <w:r w:rsidRPr="00B557CA">
              <w:rPr>
                <w:rFonts w:ascii="Arial" w:hAnsi="Arial" w:cs="Arial"/>
                <w:b/>
                <w:bCs/>
                <w:sz w:val="22"/>
                <w:szCs w:val="22"/>
                <w:lang w:val="en-US"/>
              </w:rPr>
              <w:t>£6,857</w:t>
            </w:r>
          </w:p>
          <w:p w14:paraId="06218A60" w14:textId="77777777" w:rsidR="00A60494" w:rsidRPr="00B557CA" w:rsidRDefault="00A60494" w:rsidP="00CC50CF">
            <w:pPr>
              <w:spacing w:after="0" w:line="240" w:lineRule="auto"/>
              <w:jc w:val="both"/>
              <w:rPr>
                <w:rFonts w:ascii="Arial" w:hAnsi="Arial" w:cs="Arial"/>
                <w:color w:val="auto"/>
                <w:sz w:val="22"/>
                <w:szCs w:val="22"/>
              </w:rPr>
            </w:pPr>
            <w:r w:rsidRPr="00B557CA">
              <w:rPr>
                <w:rFonts w:ascii="Arial" w:hAnsi="Arial" w:cs="Arial"/>
                <w:color w:val="auto"/>
                <w:sz w:val="22"/>
                <w:szCs w:val="22"/>
              </w:rPr>
              <w:t>£4225</w:t>
            </w:r>
          </w:p>
          <w:p w14:paraId="4FC63A26" w14:textId="77777777" w:rsidR="00A60494" w:rsidRPr="00B557CA" w:rsidRDefault="00A60494" w:rsidP="00CC50CF">
            <w:pPr>
              <w:spacing w:after="0" w:line="240" w:lineRule="auto"/>
              <w:jc w:val="both"/>
              <w:rPr>
                <w:rFonts w:ascii="Arial" w:hAnsi="Arial" w:cs="Arial"/>
                <w:sz w:val="22"/>
                <w:szCs w:val="22"/>
                <w:lang w:val="en-US"/>
              </w:rPr>
            </w:pPr>
          </w:p>
          <w:p w14:paraId="02B1A344" w14:textId="77777777" w:rsidR="00A60494" w:rsidRPr="00B557CA" w:rsidRDefault="00A60494" w:rsidP="00CC50CF">
            <w:pPr>
              <w:spacing w:after="0" w:line="240" w:lineRule="auto"/>
              <w:jc w:val="both"/>
              <w:rPr>
                <w:rFonts w:ascii="Arial" w:hAnsi="Arial" w:cs="Arial"/>
                <w:sz w:val="22"/>
                <w:szCs w:val="22"/>
                <w:lang w:val="en-US"/>
              </w:rPr>
            </w:pPr>
          </w:p>
          <w:p w14:paraId="73D12AE9" w14:textId="77777777" w:rsidR="00A60494" w:rsidRPr="00B557CA" w:rsidRDefault="00A60494" w:rsidP="00CC50CF">
            <w:pPr>
              <w:spacing w:after="0" w:line="240" w:lineRule="auto"/>
              <w:jc w:val="both"/>
              <w:rPr>
                <w:rFonts w:ascii="Arial" w:hAnsi="Arial" w:cs="Arial"/>
                <w:sz w:val="22"/>
                <w:szCs w:val="22"/>
                <w:lang w:val="en-US"/>
              </w:rPr>
            </w:pPr>
            <w:r w:rsidRPr="00B557CA">
              <w:rPr>
                <w:rFonts w:ascii="Arial" w:hAnsi="Arial" w:cs="Arial"/>
                <w:sz w:val="22"/>
                <w:szCs w:val="22"/>
                <w:lang w:val="en-US"/>
              </w:rPr>
              <w:t>£2,632</w:t>
            </w:r>
          </w:p>
          <w:p w14:paraId="3A682A3A" w14:textId="77777777" w:rsidR="00A60494" w:rsidRPr="00B557CA" w:rsidRDefault="00A60494" w:rsidP="00CC50CF">
            <w:pPr>
              <w:rPr>
                <w:rFonts w:ascii="Arial" w:hAnsi="Arial" w:cs="Arial"/>
                <w:sz w:val="22"/>
                <w:szCs w:val="22"/>
                <w:lang w:val="en-US"/>
              </w:rPr>
            </w:pPr>
          </w:p>
          <w:p w14:paraId="4928CE1C" w14:textId="77777777" w:rsidR="00A60494" w:rsidRPr="00B557CA" w:rsidRDefault="00A60494" w:rsidP="00CC50CF">
            <w:pPr>
              <w:rPr>
                <w:rFonts w:ascii="Arial" w:hAnsi="Arial" w:cs="Arial"/>
                <w:sz w:val="22"/>
                <w:szCs w:val="22"/>
                <w:lang w:val="en-US"/>
              </w:rPr>
            </w:pPr>
          </w:p>
          <w:p w14:paraId="3D77D63F" w14:textId="77777777" w:rsidR="00A60494" w:rsidRPr="00B557CA" w:rsidRDefault="00A60494" w:rsidP="00CC50CF">
            <w:pPr>
              <w:rPr>
                <w:rFonts w:ascii="Arial" w:hAnsi="Arial" w:cs="Arial"/>
                <w:sz w:val="22"/>
                <w:szCs w:val="22"/>
                <w:lang w:val="en-US"/>
              </w:rPr>
            </w:pPr>
          </w:p>
        </w:tc>
        <w:tc>
          <w:tcPr>
            <w:tcW w:w="2369" w:type="pct"/>
          </w:tcPr>
          <w:p w14:paraId="39631311" w14:textId="1C25F361"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Our wider strategies address</w:t>
            </w:r>
            <w:r w:rsidR="00E42083" w:rsidRPr="00B557CA">
              <w:rPr>
                <w:rFonts w:ascii="Arial" w:hAnsi="Arial" w:cs="Arial"/>
                <w:sz w:val="22"/>
                <w:szCs w:val="22"/>
              </w:rPr>
              <w:t>ed</w:t>
            </w:r>
            <w:r w:rsidRPr="00B557CA">
              <w:rPr>
                <w:rFonts w:ascii="Arial" w:hAnsi="Arial" w:cs="Arial"/>
                <w:sz w:val="22"/>
                <w:szCs w:val="22"/>
              </w:rPr>
              <w:t xml:space="preserve"> non-academic barriers to learning, helping</w:t>
            </w:r>
            <w:r w:rsidR="00FD524E" w:rsidRPr="00B557CA">
              <w:rPr>
                <w:rFonts w:ascii="Arial" w:hAnsi="Arial" w:cs="Arial"/>
                <w:sz w:val="22"/>
                <w:szCs w:val="22"/>
              </w:rPr>
              <w:t xml:space="preserve"> many</w:t>
            </w:r>
            <w:r w:rsidRPr="00B557CA">
              <w:rPr>
                <w:rFonts w:ascii="Arial" w:hAnsi="Arial" w:cs="Arial"/>
                <w:sz w:val="22"/>
                <w:szCs w:val="22"/>
              </w:rPr>
              <w:t xml:space="preserve"> PP students</w:t>
            </w:r>
            <w:r w:rsidR="00FD524E" w:rsidRPr="00B557CA">
              <w:rPr>
                <w:rFonts w:ascii="Arial" w:hAnsi="Arial" w:cs="Arial"/>
                <w:sz w:val="22"/>
                <w:szCs w:val="22"/>
              </w:rPr>
              <w:t xml:space="preserve"> to</w:t>
            </w:r>
            <w:r w:rsidRPr="00B557CA">
              <w:rPr>
                <w:rFonts w:ascii="Arial" w:hAnsi="Arial" w:cs="Arial"/>
                <w:sz w:val="22"/>
                <w:szCs w:val="22"/>
              </w:rPr>
              <w:t xml:space="preserve"> engage fully in their education.</w:t>
            </w:r>
            <w:r w:rsidR="00866CED" w:rsidRPr="00B557CA">
              <w:rPr>
                <w:rFonts w:ascii="Arial" w:hAnsi="Arial" w:cs="Arial"/>
                <w:sz w:val="22"/>
                <w:szCs w:val="22"/>
              </w:rPr>
              <w:t xml:space="preserve"> The </w:t>
            </w:r>
            <w:r w:rsidRPr="00B557CA">
              <w:rPr>
                <w:rFonts w:ascii="Arial" w:hAnsi="Arial" w:cs="Arial"/>
                <w:sz w:val="22"/>
                <w:szCs w:val="22"/>
              </w:rPr>
              <w:t>ELSA (Emotional Literacy Support Assistant) support</w:t>
            </w:r>
            <w:r w:rsidR="00866CED" w:rsidRPr="00B557CA">
              <w:rPr>
                <w:rFonts w:ascii="Arial" w:hAnsi="Arial" w:cs="Arial"/>
                <w:sz w:val="22"/>
                <w:szCs w:val="22"/>
              </w:rPr>
              <w:t>ed</w:t>
            </w:r>
            <w:r w:rsidRPr="00B557CA">
              <w:rPr>
                <w:rFonts w:ascii="Arial" w:hAnsi="Arial" w:cs="Arial"/>
                <w:sz w:val="22"/>
                <w:szCs w:val="22"/>
              </w:rPr>
              <w:t xml:space="preserve"> students with emotions, anxiety and social challenges, improving confidence and classroom engagement. The Home</w:t>
            </w:r>
            <w:r w:rsidR="003E2989" w:rsidRPr="00B557CA">
              <w:rPr>
                <w:rFonts w:ascii="Arial" w:hAnsi="Arial" w:cs="Arial"/>
                <w:sz w:val="22"/>
                <w:szCs w:val="22"/>
              </w:rPr>
              <w:t xml:space="preserve"> </w:t>
            </w:r>
            <w:r w:rsidRPr="00B557CA">
              <w:rPr>
                <w:rFonts w:ascii="Arial" w:hAnsi="Arial" w:cs="Arial"/>
                <w:sz w:val="22"/>
                <w:szCs w:val="22"/>
              </w:rPr>
              <w:t>Link Worker support</w:t>
            </w:r>
            <w:r w:rsidR="00866CED" w:rsidRPr="00B557CA">
              <w:rPr>
                <w:rFonts w:ascii="Arial" w:hAnsi="Arial" w:cs="Arial"/>
                <w:sz w:val="22"/>
                <w:szCs w:val="22"/>
              </w:rPr>
              <w:t xml:space="preserve">ed </w:t>
            </w:r>
            <w:r w:rsidRPr="00B557CA">
              <w:rPr>
                <w:rFonts w:ascii="Arial" w:hAnsi="Arial" w:cs="Arial"/>
                <w:sz w:val="22"/>
                <w:szCs w:val="22"/>
              </w:rPr>
              <w:t>families with attendance, routines and well-being, leading to better punctuality, reduced absences, and increased parental involvement.</w:t>
            </w:r>
          </w:p>
          <w:p w14:paraId="28DF4766" w14:textId="77777777" w:rsidR="00A60494" w:rsidRPr="00B557CA" w:rsidRDefault="00A60494" w:rsidP="00CC50CF">
            <w:pPr>
              <w:spacing w:after="0" w:line="240" w:lineRule="auto"/>
              <w:jc w:val="both"/>
              <w:rPr>
                <w:rFonts w:ascii="Arial" w:hAnsi="Arial" w:cs="Arial"/>
                <w:sz w:val="22"/>
                <w:szCs w:val="22"/>
              </w:rPr>
            </w:pPr>
          </w:p>
        </w:tc>
      </w:tr>
      <w:tr w:rsidR="00A60494" w:rsidRPr="00B557CA" w14:paraId="456E1180" w14:textId="77777777" w:rsidTr="00D231F6">
        <w:trPr>
          <w:trHeight w:val="2839"/>
        </w:trPr>
        <w:tc>
          <w:tcPr>
            <w:tcW w:w="815" w:type="pct"/>
          </w:tcPr>
          <w:p w14:paraId="045EF338" w14:textId="77777777" w:rsidR="00A60494" w:rsidRPr="00B557CA" w:rsidRDefault="00A60494" w:rsidP="00CC50CF">
            <w:pPr>
              <w:pStyle w:val="Heading2"/>
              <w:spacing w:before="0" w:after="0"/>
              <w:rPr>
                <w:rFonts w:ascii="Arial" w:hAnsi="Arial" w:cs="Arial"/>
                <w:bCs/>
                <w:color w:val="auto"/>
                <w:sz w:val="22"/>
                <w:szCs w:val="22"/>
              </w:rPr>
            </w:pPr>
            <w:r w:rsidRPr="00B557CA">
              <w:rPr>
                <w:rFonts w:ascii="Arial" w:hAnsi="Arial" w:cs="Arial"/>
                <w:color w:val="auto"/>
                <w:sz w:val="22"/>
                <w:szCs w:val="22"/>
              </w:rPr>
              <w:t>Voucher scheme (trips / residentials, clubs and uniform)</w:t>
            </w:r>
          </w:p>
        </w:tc>
        <w:tc>
          <w:tcPr>
            <w:tcW w:w="929" w:type="pct"/>
          </w:tcPr>
          <w:p w14:paraId="49A55D78" w14:textId="77777777" w:rsidR="00A60494" w:rsidRPr="006A19CB" w:rsidRDefault="00A60494" w:rsidP="00CC50CF">
            <w:pPr>
              <w:pStyle w:val="Heading2"/>
              <w:spacing w:before="0" w:after="0"/>
              <w:rPr>
                <w:rFonts w:ascii="Arial" w:hAnsi="Arial" w:cs="Arial"/>
                <w:b w:val="0"/>
                <w:color w:val="FF0000"/>
                <w:sz w:val="22"/>
                <w:szCs w:val="22"/>
              </w:rPr>
            </w:pPr>
            <w:r w:rsidRPr="006A19CB">
              <w:rPr>
                <w:rFonts w:ascii="Arial" w:hAnsi="Arial" w:cs="Arial"/>
                <w:b w:val="0"/>
                <w:color w:val="FF0000"/>
                <w:sz w:val="22"/>
                <w:szCs w:val="22"/>
              </w:rPr>
              <w:t>£1,621</w:t>
            </w:r>
          </w:p>
        </w:tc>
        <w:tc>
          <w:tcPr>
            <w:tcW w:w="887" w:type="pct"/>
          </w:tcPr>
          <w:p w14:paraId="67FFB249" w14:textId="77777777"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£2,500</w:t>
            </w:r>
          </w:p>
        </w:tc>
        <w:tc>
          <w:tcPr>
            <w:tcW w:w="2369" w:type="pct"/>
          </w:tcPr>
          <w:p w14:paraId="576797B9" w14:textId="76F67E51"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The Voucher Scheme ensure</w:t>
            </w:r>
            <w:r w:rsidR="00866CED" w:rsidRPr="00B557CA">
              <w:rPr>
                <w:rFonts w:ascii="Arial" w:hAnsi="Arial" w:cs="Arial"/>
                <w:sz w:val="22"/>
                <w:szCs w:val="22"/>
              </w:rPr>
              <w:t>d</w:t>
            </w:r>
            <w:r w:rsidRPr="00B557CA">
              <w:rPr>
                <w:rFonts w:ascii="Arial" w:hAnsi="Arial" w:cs="Arial"/>
                <w:sz w:val="22"/>
                <w:szCs w:val="22"/>
              </w:rPr>
              <w:t xml:space="preserve"> PP students ha</w:t>
            </w:r>
            <w:r w:rsidR="00866CED" w:rsidRPr="00B557CA">
              <w:rPr>
                <w:rFonts w:ascii="Arial" w:hAnsi="Arial" w:cs="Arial"/>
                <w:sz w:val="22"/>
                <w:szCs w:val="22"/>
              </w:rPr>
              <w:t xml:space="preserve">d </w:t>
            </w:r>
            <w:r w:rsidRPr="00B557CA">
              <w:rPr>
                <w:rFonts w:ascii="Arial" w:hAnsi="Arial" w:cs="Arial"/>
                <w:sz w:val="22"/>
                <w:szCs w:val="22"/>
              </w:rPr>
              <w:t xml:space="preserve">equal access to trips, extracurricular clubs and school uniform, </w:t>
            </w:r>
            <w:r w:rsidR="00866CED" w:rsidRPr="00B557CA">
              <w:rPr>
                <w:rFonts w:ascii="Arial" w:hAnsi="Arial" w:cs="Arial"/>
                <w:sz w:val="22"/>
                <w:szCs w:val="22"/>
              </w:rPr>
              <w:t xml:space="preserve">helping to </w:t>
            </w:r>
            <w:r w:rsidRPr="00B557CA">
              <w:rPr>
                <w:rFonts w:ascii="Arial" w:hAnsi="Arial" w:cs="Arial"/>
                <w:sz w:val="22"/>
                <w:szCs w:val="22"/>
              </w:rPr>
              <w:t>remov</w:t>
            </w:r>
            <w:r w:rsidR="00CD25EC" w:rsidRPr="00B557CA">
              <w:rPr>
                <w:rFonts w:ascii="Arial" w:hAnsi="Arial" w:cs="Arial"/>
                <w:sz w:val="22"/>
                <w:szCs w:val="22"/>
              </w:rPr>
              <w:t>e some</w:t>
            </w:r>
            <w:r w:rsidRPr="00B557CA">
              <w:rPr>
                <w:rFonts w:ascii="Arial" w:hAnsi="Arial" w:cs="Arial"/>
                <w:sz w:val="22"/>
                <w:szCs w:val="22"/>
              </w:rPr>
              <w:t xml:space="preserve"> financial barriers to participation. This initiative </w:t>
            </w:r>
            <w:r w:rsidR="00CD25EC" w:rsidRPr="00B557CA">
              <w:rPr>
                <w:rFonts w:ascii="Arial" w:hAnsi="Arial" w:cs="Arial"/>
                <w:sz w:val="22"/>
                <w:szCs w:val="22"/>
              </w:rPr>
              <w:t>allow</w:t>
            </w:r>
            <w:r w:rsidR="00E63E47" w:rsidRPr="00B557CA">
              <w:rPr>
                <w:rFonts w:ascii="Arial" w:hAnsi="Arial" w:cs="Arial"/>
                <w:sz w:val="22"/>
                <w:szCs w:val="22"/>
              </w:rPr>
              <w:t>ed pupil</w:t>
            </w:r>
            <w:r w:rsidR="003E2989" w:rsidRPr="00B557CA">
              <w:rPr>
                <w:rFonts w:ascii="Arial" w:hAnsi="Arial" w:cs="Arial"/>
                <w:sz w:val="22"/>
                <w:szCs w:val="22"/>
              </w:rPr>
              <w:t>s</w:t>
            </w:r>
            <w:r w:rsidR="00E63E47" w:rsidRPr="00B557CA">
              <w:rPr>
                <w:rFonts w:ascii="Arial" w:hAnsi="Arial" w:cs="Arial"/>
                <w:sz w:val="22"/>
                <w:szCs w:val="22"/>
              </w:rPr>
              <w:t xml:space="preserve"> to have</w:t>
            </w:r>
            <w:r w:rsidR="00CD25EC" w:rsidRPr="00B557CA">
              <w:rPr>
                <w:rFonts w:ascii="Arial" w:hAnsi="Arial" w:cs="Arial"/>
                <w:sz w:val="22"/>
                <w:szCs w:val="22"/>
              </w:rPr>
              <w:t xml:space="preserve"> increased</w:t>
            </w:r>
            <w:r w:rsidRPr="00B557CA">
              <w:rPr>
                <w:rFonts w:ascii="Arial" w:hAnsi="Arial" w:cs="Arial"/>
                <w:sz w:val="22"/>
                <w:szCs w:val="22"/>
              </w:rPr>
              <w:t xml:space="preserve"> engagement and social inclusion. Trips and residentials </w:t>
            </w:r>
            <w:r w:rsidR="00E63E47" w:rsidRPr="00B557CA">
              <w:rPr>
                <w:rFonts w:ascii="Arial" w:hAnsi="Arial" w:cs="Arial"/>
                <w:sz w:val="22"/>
                <w:szCs w:val="22"/>
              </w:rPr>
              <w:t xml:space="preserve">allowed pupils to </w:t>
            </w:r>
            <w:r w:rsidRPr="00B557CA">
              <w:rPr>
                <w:rFonts w:ascii="Arial" w:hAnsi="Arial" w:cs="Arial"/>
                <w:sz w:val="22"/>
                <w:szCs w:val="22"/>
              </w:rPr>
              <w:t xml:space="preserve">broaden experiences, enhancing </w:t>
            </w:r>
            <w:r w:rsidR="00E63E47" w:rsidRPr="00B557CA">
              <w:rPr>
                <w:rFonts w:ascii="Arial" w:hAnsi="Arial" w:cs="Arial"/>
                <w:sz w:val="22"/>
                <w:szCs w:val="22"/>
              </w:rPr>
              <w:t xml:space="preserve">their </w:t>
            </w:r>
            <w:r w:rsidRPr="00B557CA">
              <w:rPr>
                <w:rFonts w:ascii="Arial" w:hAnsi="Arial" w:cs="Arial"/>
                <w:sz w:val="22"/>
                <w:szCs w:val="22"/>
              </w:rPr>
              <w:t>personal development and motivation, while clubs offer</w:t>
            </w:r>
            <w:r w:rsidR="00E63E47" w:rsidRPr="00B557CA">
              <w:rPr>
                <w:rFonts w:ascii="Arial" w:hAnsi="Arial" w:cs="Arial"/>
                <w:sz w:val="22"/>
                <w:szCs w:val="22"/>
              </w:rPr>
              <w:t>ed</w:t>
            </w:r>
            <w:r w:rsidRPr="00B557CA">
              <w:rPr>
                <w:rFonts w:ascii="Arial" w:hAnsi="Arial" w:cs="Arial"/>
                <w:sz w:val="22"/>
                <w:szCs w:val="22"/>
              </w:rPr>
              <w:t xml:space="preserve"> opportunities to develop new skills, build confidence, and improve well-being. Uniform vouchers ensure</w:t>
            </w:r>
            <w:r w:rsidR="00E63E47" w:rsidRPr="00B557CA">
              <w:rPr>
                <w:rFonts w:ascii="Arial" w:hAnsi="Arial" w:cs="Arial"/>
                <w:sz w:val="22"/>
                <w:szCs w:val="22"/>
              </w:rPr>
              <w:t xml:space="preserve">d </w:t>
            </w:r>
            <w:r w:rsidRPr="00B557CA">
              <w:rPr>
                <w:rFonts w:ascii="Arial" w:hAnsi="Arial" w:cs="Arial"/>
                <w:sz w:val="22"/>
                <w:szCs w:val="22"/>
              </w:rPr>
              <w:t>all PP students ha</w:t>
            </w:r>
            <w:r w:rsidR="00E63E47" w:rsidRPr="00B557CA">
              <w:rPr>
                <w:rFonts w:ascii="Arial" w:hAnsi="Arial" w:cs="Arial"/>
                <w:sz w:val="22"/>
                <w:szCs w:val="22"/>
              </w:rPr>
              <w:t>d</w:t>
            </w:r>
            <w:r w:rsidRPr="00B557CA">
              <w:rPr>
                <w:rFonts w:ascii="Arial" w:hAnsi="Arial" w:cs="Arial"/>
                <w:sz w:val="22"/>
                <w:szCs w:val="22"/>
              </w:rPr>
              <w:t xml:space="preserve"> appropriate school attire, reducing stigma and fostering a sense of belonging. Overall, the scheme encourage</w:t>
            </w:r>
            <w:r w:rsidR="00E63E47" w:rsidRPr="00B557CA">
              <w:rPr>
                <w:rFonts w:ascii="Arial" w:hAnsi="Arial" w:cs="Arial"/>
                <w:sz w:val="22"/>
                <w:szCs w:val="22"/>
              </w:rPr>
              <w:t xml:space="preserve">d </w:t>
            </w:r>
            <w:r w:rsidRPr="00B557CA">
              <w:rPr>
                <w:rFonts w:ascii="Arial" w:hAnsi="Arial" w:cs="Arial"/>
                <w:sz w:val="22"/>
                <w:szCs w:val="22"/>
              </w:rPr>
              <w:t>active participation in school life and contribute</w:t>
            </w:r>
            <w:r w:rsidR="00E63E47" w:rsidRPr="00B557CA">
              <w:rPr>
                <w:rFonts w:ascii="Arial" w:hAnsi="Arial" w:cs="Arial"/>
                <w:sz w:val="22"/>
                <w:szCs w:val="22"/>
              </w:rPr>
              <w:t>d</w:t>
            </w:r>
            <w:r w:rsidRPr="00B557CA">
              <w:rPr>
                <w:rFonts w:ascii="Arial" w:hAnsi="Arial" w:cs="Arial"/>
                <w:sz w:val="22"/>
                <w:szCs w:val="22"/>
              </w:rPr>
              <w:t xml:space="preserve"> to improved engagement, social development and academic outcomes.</w:t>
            </w:r>
          </w:p>
          <w:p w14:paraId="3C34820D" w14:textId="77777777" w:rsidR="00A60494" w:rsidRPr="00B557CA" w:rsidRDefault="00A60494" w:rsidP="00D05665">
            <w:pPr>
              <w:spacing w:after="0" w:line="240" w:lineRule="auto"/>
              <w:jc w:val="both"/>
              <w:rPr>
                <w:rFonts w:ascii="Arial" w:hAnsi="Arial" w:cs="Arial"/>
                <w:sz w:val="22"/>
                <w:szCs w:val="22"/>
                <w:lang w:val="en-US"/>
              </w:rPr>
            </w:pPr>
          </w:p>
        </w:tc>
      </w:tr>
      <w:tr w:rsidR="00A60494" w:rsidRPr="00B557CA" w14:paraId="338C42DC" w14:textId="77777777" w:rsidTr="00D231F6">
        <w:trPr>
          <w:trHeight w:val="2839"/>
        </w:trPr>
        <w:tc>
          <w:tcPr>
            <w:tcW w:w="815" w:type="pct"/>
          </w:tcPr>
          <w:p w14:paraId="2AA2411B" w14:textId="77777777" w:rsidR="00A60494" w:rsidRPr="00B557CA" w:rsidRDefault="00A60494" w:rsidP="00CC50CF">
            <w:pPr>
              <w:pStyle w:val="Heading2"/>
              <w:spacing w:before="0" w:after="0"/>
              <w:rPr>
                <w:rFonts w:ascii="Arial" w:hAnsi="Arial" w:cs="Arial"/>
                <w:color w:val="auto"/>
                <w:sz w:val="22"/>
                <w:szCs w:val="22"/>
              </w:rPr>
            </w:pPr>
            <w:r w:rsidRPr="00B557CA">
              <w:rPr>
                <w:rFonts w:ascii="Arial" w:hAnsi="Arial" w:cs="Arial"/>
                <w:color w:val="auto"/>
                <w:sz w:val="22"/>
                <w:szCs w:val="22"/>
              </w:rPr>
              <w:t>PLAC</w:t>
            </w:r>
          </w:p>
        </w:tc>
        <w:tc>
          <w:tcPr>
            <w:tcW w:w="929" w:type="pct"/>
          </w:tcPr>
          <w:p w14:paraId="65DB44A6" w14:textId="77777777" w:rsidR="00A60494" w:rsidRDefault="00A60494" w:rsidP="00CC50CF">
            <w:pPr>
              <w:pStyle w:val="Heading2"/>
              <w:spacing w:before="0" w:after="0"/>
              <w:rPr>
                <w:rFonts w:ascii="Arial" w:hAnsi="Arial" w:cs="Arial"/>
                <w:b w:val="0"/>
                <w:color w:val="FF0000"/>
                <w:sz w:val="22"/>
                <w:szCs w:val="22"/>
              </w:rPr>
            </w:pPr>
            <w:r w:rsidRPr="006A19CB">
              <w:rPr>
                <w:rFonts w:ascii="Arial" w:hAnsi="Arial" w:cs="Arial"/>
                <w:b w:val="0"/>
                <w:color w:val="FF0000"/>
                <w:sz w:val="22"/>
                <w:szCs w:val="22"/>
              </w:rPr>
              <w:t>£0</w:t>
            </w:r>
          </w:p>
          <w:p w14:paraId="2DA867F9" w14:textId="47CD4366" w:rsidR="00A2574D" w:rsidRPr="00A2574D" w:rsidRDefault="00A2574D" w:rsidP="00A2574D"/>
        </w:tc>
        <w:tc>
          <w:tcPr>
            <w:tcW w:w="887" w:type="pct"/>
          </w:tcPr>
          <w:p w14:paraId="30A99A05" w14:textId="77777777"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£2570</w:t>
            </w:r>
          </w:p>
        </w:tc>
        <w:tc>
          <w:tcPr>
            <w:tcW w:w="2369" w:type="pct"/>
          </w:tcPr>
          <w:p w14:paraId="75866E21" w14:textId="5692BB94" w:rsidR="00A60494" w:rsidRPr="00B557CA" w:rsidRDefault="001C4AAC" w:rsidP="00CC50CF">
            <w:pPr>
              <w:spacing w:after="0" w:line="240" w:lineRule="auto"/>
              <w:jc w:val="both"/>
              <w:rPr>
                <w:rFonts w:ascii="Arial" w:hAnsi="Arial" w:cs="Arial"/>
                <w:sz w:val="22"/>
                <w:szCs w:val="22"/>
              </w:rPr>
            </w:pPr>
            <w:r w:rsidRPr="00B557CA">
              <w:rPr>
                <w:rFonts w:ascii="Arial" w:hAnsi="Arial" w:cs="Arial"/>
                <w:sz w:val="22"/>
                <w:szCs w:val="22"/>
              </w:rPr>
              <w:t>Although we ha</w:t>
            </w:r>
            <w:r w:rsidR="00D05665" w:rsidRPr="00B557CA">
              <w:rPr>
                <w:rFonts w:ascii="Arial" w:hAnsi="Arial" w:cs="Arial"/>
                <w:sz w:val="22"/>
                <w:szCs w:val="22"/>
              </w:rPr>
              <w:t>d</w:t>
            </w:r>
            <w:r w:rsidRPr="00B557CA">
              <w:rPr>
                <w:rFonts w:ascii="Arial" w:hAnsi="Arial" w:cs="Arial"/>
                <w:sz w:val="22"/>
                <w:szCs w:val="22"/>
              </w:rPr>
              <w:t xml:space="preserve"> two PLAC children on role, we </w:t>
            </w:r>
            <w:r w:rsidR="00C94EEF" w:rsidRPr="00B557CA">
              <w:rPr>
                <w:rFonts w:ascii="Arial" w:hAnsi="Arial" w:cs="Arial"/>
                <w:sz w:val="22"/>
                <w:szCs w:val="22"/>
              </w:rPr>
              <w:t xml:space="preserve">only had 1 child on budget due to the other child not being on </w:t>
            </w:r>
            <w:r w:rsidR="00A60494" w:rsidRPr="00B557CA">
              <w:rPr>
                <w:rFonts w:ascii="Arial" w:hAnsi="Arial" w:cs="Arial"/>
                <w:sz w:val="22"/>
                <w:szCs w:val="22"/>
              </w:rPr>
              <w:t>role during the census for when this budget was created.</w:t>
            </w:r>
          </w:p>
          <w:p w14:paraId="413BF0A8" w14:textId="037C9BC9" w:rsidR="00A60494" w:rsidRPr="00B557CA" w:rsidRDefault="00A60494" w:rsidP="00CC50CF">
            <w:pPr>
              <w:spacing w:after="0" w:line="240" w:lineRule="auto"/>
              <w:jc w:val="both"/>
              <w:rPr>
                <w:rFonts w:ascii="Arial" w:hAnsi="Arial" w:cs="Arial"/>
                <w:sz w:val="22"/>
                <w:szCs w:val="22"/>
              </w:rPr>
            </w:pPr>
            <w:r w:rsidRPr="00B557CA">
              <w:rPr>
                <w:rFonts w:ascii="Arial" w:hAnsi="Arial" w:cs="Arial"/>
                <w:sz w:val="22"/>
                <w:szCs w:val="22"/>
              </w:rPr>
              <w:t xml:space="preserve">The PLAC child we </w:t>
            </w:r>
            <w:r w:rsidR="00C94EEF" w:rsidRPr="00B557CA">
              <w:rPr>
                <w:rFonts w:ascii="Arial" w:hAnsi="Arial" w:cs="Arial"/>
                <w:sz w:val="22"/>
                <w:szCs w:val="22"/>
              </w:rPr>
              <w:t>had</w:t>
            </w:r>
            <w:r w:rsidRPr="00B557CA">
              <w:rPr>
                <w:rFonts w:ascii="Arial" w:hAnsi="Arial" w:cs="Arial"/>
                <w:sz w:val="22"/>
                <w:szCs w:val="22"/>
              </w:rPr>
              <w:t xml:space="preserve"> funding for benefit</w:t>
            </w:r>
            <w:r w:rsidR="00C94EEF" w:rsidRPr="00B557CA">
              <w:rPr>
                <w:rFonts w:ascii="Arial" w:hAnsi="Arial" w:cs="Arial"/>
                <w:sz w:val="22"/>
                <w:szCs w:val="22"/>
              </w:rPr>
              <w:t>ted</w:t>
            </w:r>
            <w:r w:rsidRPr="00B557CA">
              <w:rPr>
                <w:rFonts w:ascii="Arial" w:hAnsi="Arial" w:cs="Arial"/>
                <w:sz w:val="22"/>
                <w:szCs w:val="22"/>
              </w:rPr>
              <w:t xml:space="preserve"> from working with a 1:1 or 1:2 ratio within class daily. He also receive</w:t>
            </w:r>
            <w:r w:rsidR="00134B58" w:rsidRPr="00B557CA">
              <w:rPr>
                <w:rFonts w:ascii="Arial" w:hAnsi="Arial" w:cs="Arial"/>
                <w:sz w:val="22"/>
                <w:szCs w:val="22"/>
              </w:rPr>
              <w:t xml:space="preserve">d </w:t>
            </w:r>
            <w:r w:rsidRPr="00B557CA">
              <w:rPr>
                <w:rFonts w:ascii="Arial" w:hAnsi="Arial" w:cs="Arial"/>
                <w:sz w:val="22"/>
                <w:szCs w:val="22"/>
              </w:rPr>
              <w:t xml:space="preserve">OT interventions provided by a TA </w:t>
            </w:r>
            <w:r w:rsidR="00134B58" w:rsidRPr="00B557CA">
              <w:rPr>
                <w:rFonts w:ascii="Arial" w:hAnsi="Arial" w:cs="Arial"/>
                <w:sz w:val="22"/>
                <w:szCs w:val="22"/>
              </w:rPr>
              <w:t xml:space="preserve">as well as daily comprehension and 1:1 maths support. He was also </w:t>
            </w:r>
            <w:r w:rsidR="001959C7" w:rsidRPr="00B557CA">
              <w:rPr>
                <w:rFonts w:ascii="Arial" w:hAnsi="Arial" w:cs="Arial"/>
                <w:sz w:val="22"/>
                <w:szCs w:val="22"/>
              </w:rPr>
              <w:t>awarded the</w:t>
            </w:r>
            <w:r w:rsidR="00134B58" w:rsidRPr="00B557CA">
              <w:rPr>
                <w:rFonts w:ascii="Arial" w:hAnsi="Arial" w:cs="Arial"/>
                <w:sz w:val="22"/>
                <w:szCs w:val="22"/>
              </w:rPr>
              <w:t xml:space="preserve"> bursary Rock Steady placement. </w:t>
            </w:r>
          </w:p>
        </w:tc>
      </w:tr>
      <w:tr w:rsidR="00A60494" w:rsidRPr="00B557CA" w14:paraId="38F2567C" w14:textId="77777777" w:rsidTr="00D231F6">
        <w:trPr>
          <w:trHeight w:val="2839"/>
        </w:trPr>
        <w:tc>
          <w:tcPr>
            <w:tcW w:w="815" w:type="pct"/>
          </w:tcPr>
          <w:p w14:paraId="26EDC5FE" w14:textId="77777777" w:rsidR="00A60494" w:rsidRPr="00B557CA" w:rsidRDefault="00A60494" w:rsidP="00CC50CF">
            <w:pPr>
              <w:pStyle w:val="Heading2"/>
              <w:spacing w:before="0" w:after="0"/>
              <w:rPr>
                <w:rFonts w:ascii="Arial" w:hAnsi="Arial" w:cs="Arial"/>
                <w:color w:val="auto"/>
                <w:sz w:val="22"/>
                <w:szCs w:val="22"/>
              </w:rPr>
            </w:pPr>
            <w:r w:rsidRPr="00B557CA">
              <w:rPr>
                <w:rFonts w:ascii="Arial" w:hAnsi="Arial" w:cs="Arial"/>
                <w:bCs/>
                <w:color w:val="auto"/>
                <w:sz w:val="22"/>
                <w:szCs w:val="22"/>
              </w:rPr>
              <w:t>Total</w:t>
            </w:r>
          </w:p>
        </w:tc>
        <w:tc>
          <w:tcPr>
            <w:tcW w:w="929" w:type="pct"/>
          </w:tcPr>
          <w:p w14:paraId="0AD17379" w14:textId="77777777" w:rsidR="00A60494" w:rsidRPr="006A19CB" w:rsidRDefault="00A60494" w:rsidP="00CC50CF">
            <w:pPr>
              <w:pStyle w:val="Heading2"/>
              <w:spacing w:before="0" w:after="0"/>
              <w:rPr>
                <w:rFonts w:ascii="Arial" w:hAnsi="Arial" w:cs="Arial"/>
                <w:b w:val="0"/>
                <w:color w:val="FF0000"/>
                <w:sz w:val="22"/>
                <w:szCs w:val="22"/>
              </w:rPr>
            </w:pPr>
            <w:r w:rsidRPr="006A19CB">
              <w:rPr>
                <w:rFonts w:ascii="Arial" w:hAnsi="Arial" w:cs="Arial"/>
                <w:b w:val="0"/>
                <w:color w:val="FF0000"/>
                <w:sz w:val="22"/>
                <w:szCs w:val="22"/>
              </w:rPr>
              <w:t>£35,818</w:t>
            </w:r>
          </w:p>
        </w:tc>
        <w:tc>
          <w:tcPr>
            <w:tcW w:w="887" w:type="pct"/>
          </w:tcPr>
          <w:p w14:paraId="2047A667" w14:textId="77777777" w:rsidR="00A60494" w:rsidRPr="00B557CA" w:rsidRDefault="00A60494" w:rsidP="00CC50CF">
            <w:pPr>
              <w:spacing w:after="0" w:line="240" w:lineRule="auto"/>
              <w:jc w:val="both"/>
              <w:rPr>
                <w:rFonts w:ascii="Arial" w:hAnsi="Arial" w:cs="Arial"/>
                <w:sz w:val="22"/>
                <w:szCs w:val="22"/>
              </w:rPr>
            </w:pPr>
            <w:r w:rsidRPr="00B557CA">
              <w:rPr>
                <w:rFonts w:ascii="Arial" w:hAnsi="Arial" w:cs="Arial"/>
                <w:color w:val="auto"/>
                <w:sz w:val="22"/>
                <w:szCs w:val="22"/>
              </w:rPr>
              <w:t>£85,450</w:t>
            </w:r>
          </w:p>
        </w:tc>
        <w:tc>
          <w:tcPr>
            <w:tcW w:w="2369" w:type="pct"/>
          </w:tcPr>
          <w:p w14:paraId="77C76ECB" w14:textId="77777777" w:rsidR="00A60494" w:rsidRPr="00B557CA" w:rsidRDefault="00A60494" w:rsidP="00CC50CF">
            <w:pPr>
              <w:spacing w:after="0" w:line="240" w:lineRule="auto"/>
              <w:jc w:val="both"/>
              <w:rPr>
                <w:rFonts w:ascii="Arial" w:hAnsi="Arial" w:cs="Arial"/>
                <w:sz w:val="22"/>
                <w:szCs w:val="22"/>
              </w:rPr>
            </w:pPr>
          </w:p>
        </w:tc>
      </w:tr>
      <w:tr w:rsidR="00A60494" w:rsidRPr="00B557CA" w14:paraId="50575A6A" w14:textId="77777777" w:rsidTr="00D231F6">
        <w:trPr>
          <w:trHeight w:val="2839"/>
        </w:trPr>
        <w:tc>
          <w:tcPr>
            <w:tcW w:w="815" w:type="pct"/>
          </w:tcPr>
          <w:p w14:paraId="43ECACE3" w14:textId="77777777" w:rsidR="00A60494" w:rsidRPr="00B557CA" w:rsidRDefault="00A60494" w:rsidP="00CC50CF">
            <w:pPr>
              <w:pStyle w:val="Heading2"/>
              <w:spacing w:before="0" w:after="0"/>
              <w:rPr>
                <w:rFonts w:ascii="Arial" w:hAnsi="Arial" w:cs="Arial"/>
                <w:bCs/>
                <w:color w:val="auto"/>
                <w:sz w:val="22"/>
                <w:szCs w:val="22"/>
              </w:rPr>
            </w:pPr>
            <w:r w:rsidRPr="00B557CA">
              <w:rPr>
                <w:rFonts w:ascii="Arial" w:hAnsi="Arial" w:cs="Arial"/>
                <w:bCs/>
                <w:color w:val="auto"/>
                <w:sz w:val="22"/>
                <w:szCs w:val="22"/>
              </w:rPr>
              <w:t>Adjustment to Planned Expenditure</w:t>
            </w:r>
          </w:p>
        </w:tc>
        <w:tc>
          <w:tcPr>
            <w:tcW w:w="929" w:type="pct"/>
          </w:tcPr>
          <w:p w14:paraId="69B15222" w14:textId="77777777" w:rsidR="00A60494" w:rsidRPr="006A19CB" w:rsidRDefault="00A60494" w:rsidP="00CC50CF">
            <w:pPr>
              <w:pStyle w:val="Heading2"/>
              <w:spacing w:before="0" w:after="0"/>
              <w:rPr>
                <w:rFonts w:ascii="Arial" w:hAnsi="Arial" w:cs="Arial"/>
                <w:b w:val="0"/>
                <w:color w:val="FF0000"/>
                <w:sz w:val="22"/>
                <w:szCs w:val="22"/>
              </w:rPr>
            </w:pPr>
          </w:p>
        </w:tc>
        <w:tc>
          <w:tcPr>
            <w:tcW w:w="887" w:type="pct"/>
          </w:tcPr>
          <w:p w14:paraId="52A8E21A" w14:textId="77777777" w:rsidR="00A60494" w:rsidRPr="00B557CA" w:rsidRDefault="00A60494" w:rsidP="00CC50CF">
            <w:pPr>
              <w:spacing w:after="0" w:line="240" w:lineRule="auto"/>
              <w:rPr>
                <w:rFonts w:ascii="Arial" w:hAnsi="Arial" w:cs="Arial"/>
                <w:b/>
                <w:bCs/>
                <w:color w:val="auto"/>
                <w:sz w:val="22"/>
                <w:szCs w:val="22"/>
              </w:rPr>
            </w:pPr>
            <w:r w:rsidRPr="00B557CA">
              <w:rPr>
                <w:rFonts w:ascii="Arial" w:hAnsi="Arial" w:cs="Arial"/>
                <w:b/>
                <w:bCs/>
                <w:color w:val="auto"/>
                <w:sz w:val="22"/>
                <w:szCs w:val="22"/>
              </w:rPr>
              <w:t>£85,450+£5,654</w:t>
            </w:r>
          </w:p>
          <w:p w14:paraId="33F6F409" w14:textId="77777777" w:rsidR="00A60494" w:rsidRPr="00B557CA" w:rsidRDefault="00A60494" w:rsidP="00CC50CF">
            <w:pPr>
              <w:spacing w:after="0" w:line="240" w:lineRule="auto"/>
              <w:jc w:val="both"/>
              <w:rPr>
                <w:rFonts w:ascii="Arial" w:hAnsi="Arial" w:cs="Arial"/>
                <w:color w:val="auto"/>
                <w:sz w:val="22"/>
                <w:szCs w:val="22"/>
              </w:rPr>
            </w:pPr>
            <w:r w:rsidRPr="00B557CA">
              <w:rPr>
                <w:rFonts w:ascii="Arial" w:hAnsi="Arial" w:cs="Arial"/>
                <w:b/>
                <w:bCs/>
                <w:color w:val="auto"/>
                <w:sz w:val="22"/>
                <w:szCs w:val="22"/>
              </w:rPr>
              <w:t>= £91,104</w:t>
            </w:r>
          </w:p>
        </w:tc>
        <w:tc>
          <w:tcPr>
            <w:tcW w:w="2369" w:type="pct"/>
          </w:tcPr>
          <w:p w14:paraId="23FCC906" w14:textId="77777777" w:rsidR="00A60494" w:rsidRPr="00B557CA" w:rsidRDefault="00A60494" w:rsidP="00CC50CF">
            <w:pPr>
              <w:spacing w:after="0" w:line="240" w:lineRule="auto"/>
              <w:rPr>
                <w:rFonts w:ascii="Arial" w:hAnsi="Arial" w:cs="Arial"/>
                <w:b/>
                <w:bCs/>
                <w:color w:val="auto"/>
                <w:sz w:val="22"/>
                <w:szCs w:val="22"/>
              </w:rPr>
            </w:pPr>
            <w:r w:rsidRPr="00B557CA">
              <w:rPr>
                <w:rFonts w:ascii="Arial" w:hAnsi="Arial" w:cs="Arial"/>
                <w:b/>
                <w:bCs/>
                <w:color w:val="auto"/>
                <w:sz w:val="22"/>
                <w:szCs w:val="22"/>
              </w:rPr>
              <w:t>Adjustment due to extra CLA child and number of PP have gone up slightly since budget</w:t>
            </w:r>
          </w:p>
          <w:p w14:paraId="33B8B728" w14:textId="77777777" w:rsidR="00A60494" w:rsidRPr="00B557CA" w:rsidRDefault="00A60494" w:rsidP="00CC50CF">
            <w:pPr>
              <w:spacing w:after="0" w:line="240" w:lineRule="auto"/>
              <w:jc w:val="both"/>
              <w:rPr>
                <w:rFonts w:ascii="Arial" w:hAnsi="Arial" w:cs="Arial"/>
                <w:sz w:val="22"/>
                <w:szCs w:val="22"/>
              </w:rPr>
            </w:pPr>
          </w:p>
        </w:tc>
      </w:tr>
      <w:tr w:rsidR="00A60494" w:rsidRPr="00B557CA" w14:paraId="6420ECAC" w14:textId="77777777" w:rsidTr="00D231F6">
        <w:trPr>
          <w:trHeight w:val="619"/>
        </w:trPr>
        <w:tc>
          <w:tcPr>
            <w:tcW w:w="815" w:type="pct"/>
          </w:tcPr>
          <w:p w14:paraId="42346907" w14:textId="77777777" w:rsidR="00A60494" w:rsidRPr="00B557CA" w:rsidRDefault="00A60494" w:rsidP="00CC50CF">
            <w:pPr>
              <w:pStyle w:val="Heading2"/>
              <w:spacing w:before="0" w:after="0"/>
              <w:rPr>
                <w:rFonts w:ascii="Arial" w:hAnsi="Arial" w:cs="Arial"/>
                <w:bCs/>
                <w:color w:val="000000" w:themeColor="text1"/>
                <w:sz w:val="22"/>
                <w:szCs w:val="22"/>
              </w:rPr>
            </w:pPr>
            <w:r w:rsidRPr="00B557CA">
              <w:rPr>
                <w:rFonts w:ascii="Arial" w:hAnsi="Arial" w:cs="Arial"/>
                <w:bCs/>
                <w:color w:val="000000" w:themeColor="text1"/>
                <w:sz w:val="22"/>
                <w:szCs w:val="22"/>
              </w:rPr>
              <w:t>Total</w:t>
            </w:r>
          </w:p>
          <w:p w14:paraId="6FAE072F" w14:textId="77777777" w:rsidR="00A60494" w:rsidRPr="00B557CA" w:rsidRDefault="00A60494" w:rsidP="00CC50CF">
            <w:pPr>
              <w:pStyle w:val="Heading2"/>
              <w:spacing w:before="0" w:after="0"/>
              <w:rPr>
                <w:rFonts w:ascii="Arial" w:hAnsi="Arial" w:cs="Arial"/>
                <w:bCs/>
                <w:color w:val="000000" w:themeColor="text1"/>
                <w:sz w:val="22"/>
                <w:szCs w:val="22"/>
              </w:rPr>
            </w:pPr>
          </w:p>
        </w:tc>
        <w:tc>
          <w:tcPr>
            <w:tcW w:w="929" w:type="pct"/>
          </w:tcPr>
          <w:p w14:paraId="02568785" w14:textId="77777777" w:rsidR="00A60494" w:rsidRPr="006A19CB" w:rsidRDefault="00A60494" w:rsidP="00CC50CF">
            <w:pPr>
              <w:rPr>
                <w:rFonts w:ascii="Arial" w:hAnsi="Arial" w:cs="Arial"/>
                <w:b/>
                <w:bCs/>
                <w:color w:val="FF0000"/>
                <w:sz w:val="22"/>
                <w:szCs w:val="22"/>
                <w:lang w:eastAsia="en-GB"/>
              </w:rPr>
            </w:pPr>
            <w:r w:rsidRPr="006A19CB">
              <w:rPr>
                <w:rFonts w:ascii="Arial" w:hAnsi="Arial" w:cs="Arial"/>
                <w:b/>
                <w:bCs/>
                <w:color w:val="FF0000"/>
                <w:sz w:val="22"/>
                <w:szCs w:val="22"/>
                <w:lang w:eastAsia="en-GB"/>
              </w:rPr>
              <w:t>£35,818</w:t>
            </w:r>
          </w:p>
        </w:tc>
        <w:tc>
          <w:tcPr>
            <w:tcW w:w="887" w:type="pct"/>
          </w:tcPr>
          <w:p w14:paraId="4C99AD17" w14:textId="77777777" w:rsidR="00A60494" w:rsidRPr="00B557CA" w:rsidRDefault="00A60494" w:rsidP="00CC50CF">
            <w:pPr>
              <w:rPr>
                <w:rFonts w:ascii="Arial" w:hAnsi="Arial" w:cs="Arial"/>
                <w:b/>
                <w:bCs/>
                <w:sz w:val="22"/>
                <w:szCs w:val="22"/>
              </w:rPr>
            </w:pPr>
            <w:r w:rsidRPr="00B557CA">
              <w:rPr>
                <w:rFonts w:ascii="Arial" w:hAnsi="Arial" w:cs="Arial"/>
                <w:b/>
                <w:bCs/>
                <w:sz w:val="22"/>
                <w:szCs w:val="22"/>
              </w:rPr>
              <w:t>£91,104</w:t>
            </w:r>
          </w:p>
          <w:p w14:paraId="3E9238E7" w14:textId="77777777" w:rsidR="00A60494" w:rsidRPr="00B557CA" w:rsidRDefault="00A60494" w:rsidP="00CC50CF">
            <w:pPr>
              <w:pStyle w:val="Heading2"/>
              <w:spacing w:before="0" w:after="0"/>
              <w:rPr>
                <w:rFonts w:ascii="Arial" w:hAnsi="Arial" w:cs="Arial"/>
                <w:bCs/>
                <w:color w:val="000000" w:themeColor="text1"/>
                <w:sz w:val="22"/>
                <w:szCs w:val="22"/>
              </w:rPr>
            </w:pPr>
          </w:p>
        </w:tc>
        <w:tc>
          <w:tcPr>
            <w:tcW w:w="2369" w:type="pct"/>
          </w:tcPr>
          <w:p w14:paraId="0A9DD5D4" w14:textId="77777777" w:rsidR="00A60494" w:rsidRPr="00B557CA" w:rsidRDefault="00A60494" w:rsidP="00CC50CF">
            <w:pPr>
              <w:pStyle w:val="Heading2"/>
              <w:spacing w:before="0" w:after="0"/>
              <w:rPr>
                <w:rFonts w:ascii="Arial" w:hAnsi="Arial" w:cs="Arial"/>
                <w:bCs/>
                <w:color w:val="000000" w:themeColor="text1"/>
                <w:sz w:val="22"/>
                <w:szCs w:val="22"/>
              </w:rPr>
            </w:pPr>
          </w:p>
        </w:tc>
      </w:tr>
    </w:tbl>
    <w:p w14:paraId="47C2AF68" w14:textId="12CFF1C4" w:rsidR="00196F8E" w:rsidRPr="00B557CA" w:rsidRDefault="00196F8E" w:rsidP="00196F8E">
      <w:pPr>
        <w:tabs>
          <w:tab w:val="left" w:pos="2586"/>
        </w:tabs>
        <w:rPr>
          <w:rFonts w:cs="Arial"/>
          <w:sz w:val="22"/>
          <w:szCs w:val="22"/>
        </w:rPr>
      </w:pPr>
      <w:r w:rsidRPr="00B557CA">
        <w:rPr>
          <w:rFonts w:cs="Arial"/>
          <w:sz w:val="22"/>
          <w:szCs w:val="22"/>
        </w:rPr>
        <w:tab/>
      </w:r>
    </w:p>
    <w:tbl>
      <w:tblPr>
        <w:tblStyle w:val="TableGrid"/>
        <w:tblW w:w="10255" w:type="dxa"/>
        <w:tblLook w:val="04A0" w:firstRow="1" w:lastRow="0" w:firstColumn="1" w:lastColumn="0" w:noHBand="0" w:noVBand="1"/>
      </w:tblPr>
      <w:tblGrid>
        <w:gridCol w:w="4743"/>
        <w:gridCol w:w="5512"/>
      </w:tblGrid>
      <w:tr w:rsidR="00196F8E" w:rsidRPr="00B557CA" w14:paraId="67A856C2" w14:textId="77777777" w:rsidTr="00196F8E">
        <w:tc>
          <w:tcPr>
            <w:tcW w:w="4743" w:type="dxa"/>
          </w:tcPr>
          <w:p w14:paraId="6D440315" w14:textId="77777777" w:rsidR="00196F8E" w:rsidRPr="00B557CA" w:rsidRDefault="00196F8E" w:rsidP="00CC50CF">
            <w:pPr>
              <w:spacing w:after="0" w:line="240" w:lineRule="auto"/>
              <w:jc w:val="center"/>
              <w:rPr>
                <w:rFonts w:ascii="Arial" w:hAnsi="Arial" w:cs="Arial"/>
                <w:b/>
                <w:sz w:val="22"/>
                <w:szCs w:val="22"/>
              </w:rPr>
            </w:pPr>
            <w:r w:rsidRPr="00B557CA">
              <w:rPr>
                <w:rFonts w:ascii="Arial" w:hAnsi="Arial" w:cs="Arial"/>
                <w:b/>
                <w:bCs/>
                <w:iCs/>
                <w:sz w:val="22"/>
                <w:szCs w:val="22"/>
              </w:rPr>
              <w:t>Pupil Premium Activity</w:t>
            </w:r>
            <w:r w:rsidRPr="00B557CA">
              <w:rPr>
                <w:rFonts w:ascii="Arial" w:hAnsi="Arial" w:cs="Arial"/>
                <w:b/>
                <w:sz w:val="22"/>
                <w:szCs w:val="22"/>
              </w:rPr>
              <w:t xml:space="preserve"> </w:t>
            </w:r>
          </w:p>
          <w:p w14:paraId="6537217B" w14:textId="77777777" w:rsidR="00196F8E" w:rsidRPr="00B557CA" w:rsidRDefault="00196F8E" w:rsidP="00CC50CF">
            <w:pPr>
              <w:spacing w:after="0" w:line="240" w:lineRule="auto"/>
              <w:jc w:val="center"/>
              <w:rPr>
                <w:rFonts w:ascii="Arial" w:hAnsi="Arial" w:cs="Arial"/>
                <w:b/>
                <w:sz w:val="22"/>
                <w:szCs w:val="22"/>
              </w:rPr>
            </w:pPr>
            <w:r w:rsidRPr="00B557CA">
              <w:rPr>
                <w:rFonts w:ascii="Arial" w:hAnsi="Arial" w:cs="Arial"/>
                <w:b/>
                <w:sz w:val="22"/>
                <w:szCs w:val="22"/>
              </w:rPr>
              <w:t>RAG Rating</w:t>
            </w:r>
          </w:p>
        </w:tc>
        <w:tc>
          <w:tcPr>
            <w:tcW w:w="5512" w:type="dxa"/>
          </w:tcPr>
          <w:p w14:paraId="0F0C5868"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b/>
                <w:bCs/>
                <w:sz w:val="22"/>
                <w:szCs w:val="22"/>
              </w:rPr>
              <w:t>Comment</w:t>
            </w:r>
          </w:p>
        </w:tc>
      </w:tr>
      <w:tr w:rsidR="00196F8E" w:rsidRPr="00B557CA" w14:paraId="6365FC15" w14:textId="77777777" w:rsidTr="00196F8E">
        <w:tc>
          <w:tcPr>
            <w:tcW w:w="4743" w:type="dxa"/>
            <w:shd w:val="clear" w:color="auto" w:fill="00B050"/>
          </w:tcPr>
          <w:p w14:paraId="40154D88"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iCs/>
                <w:sz w:val="22"/>
                <w:szCs w:val="22"/>
              </w:rPr>
              <w:t>Improve quality first teaching.</w:t>
            </w:r>
            <w:r w:rsidRPr="00B557CA">
              <w:rPr>
                <w:rFonts w:ascii="Arial" w:hAnsi="Arial" w:cs="Arial"/>
                <w:sz w:val="22"/>
                <w:szCs w:val="22"/>
              </w:rPr>
              <w:t xml:space="preserve"> Provide quality targeted CPD for teachers to ensure they have the skills and knowledge, enabling them to provide high quality education for all.</w:t>
            </w:r>
          </w:p>
        </w:tc>
        <w:tc>
          <w:tcPr>
            <w:tcW w:w="5512" w:type="dxa"/>
            <w:shd w:val="clear" w:color="auto" w:fill="00B050"/>
          </w:tcPr>
          <w:p w14:paraId="0C4C3A51" w14:textId="15379557" w:rsidR="00196F8E" w:rsidRPr="00B557CA" w:rsidRDefault="00196F8E" w:rsidP="00CC50CF">
            <w:pPr>
              <w:numPr>
                <w:ilvl w:val="0"/>
                <w:numId w:val="1"/>
              </w:numPr>
              <w:spacing w:after="0" w:line="240" w:lineRule="auto"/>
              <w:rPr>
                <w:rFonts w:ascii="Arial" w:hAnsi="Arial" w:cs="Arial"/>
                <w:sz w:val="22"/>
                <w:szCs w:val="22"/>
                <w:lang w:val="en-US"/>
              </w:rPr>
            </w:pPr>
            <w:r w:rsidRPr="00B557CA">
              <w:rPr>
                <w:rFonts w:ascii="Arial" w:hAnsi="Arial" w:cs="Arial"/>
                <w:b/>
                <w:bCs/>
                <w:sz w:val="22"/>
                <w:szCs w:val="22"/>
              </w:rPr>
              <w:t>Achieved and Ongoing:</w:t>
            </w:r>
            <w:r w:rsidRPr="00B557CA">
              <w:rPr>
                <w:rFonts w:ascii="Arial" w:hAnsi="Arial" w:cs="Arial"/>
                <w:sz w:val="22"/>
                <w:szCs w:val="22"/>
              </w:rPr>
              <w:t xml:space="preserve"> </w:t>
            </w:r>
            <w:r w:rsidR="004C6952" w:rsidRPr="00B557CA">
              <w:rPr>
                <w:rFonts w:ascii="Arial" w:hAnsi="Arial" w:cs="Arial"/>
                <w:sz w:val="22"/>
                <w:szCs w:val="22"/>
              </w:rPr>
              <w:t>Teachers accessed targeted CPD opportunities through internal and external training. This enhanced knowledge and skills, impacting on quality first teaching across the school. Leaders were able to identify gaps and next steps</w:t>
            </w:r>
            <w:r w:rsidR="00400C8B" w:rsidRPr="00B557CA">
              <w:rPr>
                <w:rFonts w:ascii="Arial" w:hAnsi="Arial" w:cs="Arial"/>
                <w:sz w:val="22"/>
                <w:szCs w:val="22"/>
              </w:rPr>
              <w:t xml:space="preserve">, </w:t>
            </w:r>
            <w:r w:rsidR="002E210D" w:rsidRPr="00B557CA">
              <w:rPr>
                <w:rFonts w:ascii="Arial" w:hAnsi="Arial" w:cs="Arial"/>
                <w:sz w:val="22"/>
                <w:szCs w:val="22"/>
              </w:rPr>
              <w:t xml:space="preserve">which </w:t>
            </w:r>
            <w:r w:rsidR="00400C8B" w:rsidRPr="00B557CA">
              <w:rPr>
                <w:rFonts w:ascii="Arial" w:hAnsi="Arial" w:cs="Arial"/>
                <w:sz w:val="22"/>
                <w:szCs w:val="22"/>
              </w:rPr>
              <w:t>have been implemented on to the new SDP (e.g. handwriting focus in English)</w:t>
            </w:r>
            <w:r w:rsidR="002E210D" w:rsidRPr="00B557CA">
              <w:rPr>
                <w:rFonts w:ascii="Arial" w:hAnsi="Arial" w:cs="Arial"/>
                <w:sz w:val="22"/>
                <w:szCs w:val="22"/>
              </w:rPr>
              <w:t>.</w:t>
            </w:r>
          </w:p>
        </w:tc>
      </w:tr>
      <w:tr w:rsidR="00196F8E" w:rsidRPr="00B557CA" w14:paraId="7BD47404" w14:textId="77777777" w:rsidTr="00196F8E">
        <w:tc>
          <w:tcPr>
            <w:tcW w:w="4743" w:type="dxa"/>
            <w:shd w:val="clear" w:color="auto" w:fill="FFC000"/>
          </w:tcPr>
          <w:p w14:paraId="5A84967B" w14:textId="6954297B" w:rsidR="00196F8E" w:rsidRPr="00B557CA" w:rsidRDefault="00196F8E" w:rsidP="00CC50CF">
            <w:pPr>
              <w:spacing w:after="0" w:line="240" w:lineRule="auto"/>
              <w:rPr>
                <w:rFonts w:ascii="Arial" w:hAnsi="Arial" w:cs="Arial"/>
                <w:sz w:val="22"/>
                <w:szCs w:val="22"/>
              </w:rPr>
            </w:pPr>
            <w:r w:rsidRPr="00B557CA">
              <w:rPr>
                <w:rFonts w:ascii="Arial" w:hAnsi="Arial" w:cs="Arial"/>
                <w:iCs/>
                <w:sz w:val="22"/>
                <w:szCs w:val="22"/>
              </w:rPr>
              <w:t>Tracking of interventions and support more closely using the Provision Map tool Edukey for children who are SEND and PP.</w:t>
            </w:r>
          </w:p>
        </w:tc>
        <w:tc>
          <w:tcPr>
            <w:tcW w:w="5512" w:type="dxa"/>
            <w:shd w:val="clear" w:color="auto" w:fill="FFC000"/>
          </w:tcPr>
          <w:p w14:paraId="2B8DD942" w14:textId="44FB103E" w:rsidR="00196F8E" w:rsidRPr="00B557CA" w:rsidRDefault="00196F8E" w:rsidP="00CC50CF">
            <w:pPr>
              <w:spacing w:after="0" w:line="240" w:lineRule="auto"/>
              <w:rPr>
                <w:rFonts w:ascii="Arial" w:hAnsi="Arial" w:cs="Arial"/>
                <w:sz w:val="22"/>
                <w:szCs w:val="22"/>
              </w:rPr>
            </w:pPr>
            <w:r w:rsidRPr="00B557CA">
              <w:rPr>
                <w:rFonts w:ascii="Arial" w:hAnsi="Arial" w:cs="Arial"/>
                <w:b/>
                <w:bCs/>
                <w:sz w:val="22"/>
                <w:szCs w:val="22"/>
              </w:rPr>
              <w:t>Ongoing:</w:t>
            </w:r>
            <w:r w:rsidRPr="00B557CA">
              <w:rPr>
                <w:rFonts w:ascii="Arial" w:hAnsi="Arial" w:cs="Arial"/>
                <w:sz w:val="22"/>
                <w:szCs w:val="22"/>
              </w:rPr>
              <w:t xml:space="preserve"> Targeted interventions for PP students, including Phonics, Fresh Start, Writing and Maths sessions</w:t>
            </w:r>
            <w:r w:rsidR="005A3779" w:rsidRPr="00B557CA">
              <w:rPr>
                <w:rFonts w:ascii="Arial" w:hAnsi="Arial" w:cs="Arial"/>
                <w:sz w:val="22"/>
                <w:szCs w:val="22"/>
              </w:rPr>
              <w:t xml:space="preserve"> were </w:t>
            </w:r>
            <w:r w:rsidRPr="00B557CA">
              <w:rPr>
                <w:rFonts w:ascii="Arial" w:hAnsi="Arial" w:cs="Arial"/>
                <w:sz w:val="22"/>
                <w:szCs w:val="22"/>
              </w:rPr>
              <w:t>tracked by Year Team Leads (YTLs) and Class Teachers. Teachers identi</w:t>
            </w:r>
            <w:r w:rsidR="005A3779" w:rsidRPr="00B557CA">
              <w:rPr>
                <w:rFonts w:ascii="Arial" w:hAnsi="Arial" w:cs="Arial"/>
                <w:sz w:val="22"/>
                <w:szCs w:val="22"/>
              </w:rPr>
              <w:t>fied</w:t>
            </w:r>
            <w:r w:rsidRPr="00B557CA">
              <w:rPr>
                <w:rFonts w:ascii="Arial" w:hAnsi="Arial" w:cs="Arial"/>
                <w:sz w:val="22"/>
                <w:szCs w:val="22"/>
              </w:rPr>
              <w:t xml:space="preserve"> learning barriers, set aspirational targets, and discuss</w:t>
            </w:r>
            <w:r w:rsidR="00FB1024" w:rsidRPr="00B557CA">
              <w:rPr>
                <w:rFonts w:ascii="Arial" w:hAnsi="Arial" w:cs="Arial"/>
                <w:sz w:val="22"/>
                <w:szCs w:val="22"/>
              </w:rPr>
              <w:t>ed</w:t>
            </w:r>
            <w:r w:rsidRPr="00B557CA">
              <w:rPr>
                <w:rFonts w:ascii="Arial" w:hAnsi="Arial" w:cs="Arial"/>
                <w:sz w:val="22"/>
                <w:szCs w:val="22"/>
              </w:rPr>
              <w:t xml:space="preserve"> progress during pupil progress meetings and PPA meetings effectively. However, the use of Edukey to monitor</w:t>
            </w:r>
            <w:r w:rsidR="00C87152" w:rsidRPr="00B557CA">
              <w:rPr>
                <w:rFonts w:ascii="Arial" w:hAnsi="Arial" w:cs="Arial"/>
                <w:sz w:val="22"/>
                <w:szCs w:val="22"/>
              </w:rPr>
              <w:t xml:space="preserve"> and track</w:t>
            </w:r>
            <w:r w:rsidRPr="00B557CA">
              <w:rPr>
                <w:rFonts w:ascii="Arial" w:hAnsi="Arial" w:cs="Arial"/>
                <w:sz w:val="22"/>
                <w:szCs w:val="22"/>
              </w:rPr>
              <w:t xml:space="preserve"> interventions </w:t>
            </w:r>
            <w:r w:rsidR="00FB1024" w:rsidRPr="00B557CA">
              <w:rPr>
                <w:rFonts w:ascii="Arial" w:hAnsi="Arial" w:cs="Arial"/>
                <w:sz w:val="22"/>
                <w:szCs w:val="22"/>
              </w:rPr>
              <w:t>was</w:t>
            </w:r>
            <w:r w:rsidRPr="00B557CA">
              <w:rPr>
                <w:rFonts w:ascii="Arial" w:hAnsi="Arial" w:cs="Arial"/>
                <w:sz w:val="22"/>
                <w:szCs w:val="22"/>
              </w:rPr>
              <w:t xml:space="preserve"> inconsistent across the school, </w:t>
            </w:r>
            <w:r w:rsidR="007022BE" w:rsidRPr="00B557CA">
              <w:rPr>
                <w:rFonts w:ascii="Arial" w:hAnsi="Arial" w:cs="Arial"/>
                <w:sz w:val="22"/>
                <w:szCs w:val="22"/>
              </w:rPr>
              <w:t xml:space="preserve">as </w:t>
            </w:r>
            <w:r w:rsidRPr="00B557CA">
              <w:rPr>
                <w:rFonts w:ascii="Arial" w:hAnsi="Arial" w:cs="Arial"/>
                <w:sz w:val="22"/>
                <w:szCs w:val="22"/>
              </w:rPr>
              <w:t>not all interventions</w:t>
            </w:r>
            <w:r w:rsidR="007022BE" w:rsidRPr="00B557CA">
              <w:rPr>
                <w:rFonts w:ascii="Arial" w:hAnsi="Arial" w:cs="Arial"/>
                <w:sz w:val="22"/>
                <w:szCs w:val="22"/>
              </w:rPr>
              <w:t xml:space="preserve"> were</w:t>
            </w:r>
            <w:r w:rsidRPr="00B557CA">
              <w:rPr>
                <w:rFonts w:ascii="Arial" w:hAnsi="Arial" w:cs="Arial"/>
                <w:sz w:val="22"/>
                <w:szCs w:val="22"/>
              </w:rPr>
              <w:t xml:space="preserve"> recorded </w:t>
            </w:r>
            <w:r w:rsidR="007022BE" w:rsidRPr="00B557CA">
              <w:rPr>
                <w:rFonts w:ascii="Arial" w:hAnsi="Arial" w:cs="Arial"/>
                <w:sz w:val="22"/>
                <w:szCs w:val="22"/>
              </w:rPr>
              <w:t xml:space="preserve">and tracked </w:t>
            </w:r>
            <w:r w:rsidRPr="00B557CA">
              <w:rPr>
                <w:rFonts w:ascii="Arial" w:hAnsi="Arial" w:cs="Arial"/>
                <w:sz w:val="22"/>
                <w:szCs w:val="22"/>
              </w:rPr>
              <w:t xml:space="preserve">on the system. </w:t>
            </w:r>
            <w:r w:rsidR="00CC1819" w:rsidRPr="00B557CA">
              <w:rPr>
                <w:rFonts w:ascii="Arial" w:hAnsi="Arial" w:cs="Arial"/>
                <w:sz w:val="22"/>
                <w:szCs w:val="22"/>
              </w:rPr>
              <w:t xml:space="preserve">This is something that will be </w:t>
            </w:r>
            <w:r w:rsidR="00A2574D">
              <w:rPr>
                <w:rFonts w:ascii="Arial" w:hAnsi="Arial" w:cs="Arial"/>
                <w:sz w:val="22"/>
                <w:szCs w:val="22"/>
              </w:rPr>
              <w:t>focused on in</w:t>
            </w:r>
            <w:r w:rsidR="00CC1819" w:rsidRPr="00B557CA">
              <w:rPr>
                <w:rFonts w:ascii="Arial" w:hAnsi="Arial" w:cs="Arial"/>
                <w:sz w:val="22"/>
                <w:szCs w:val="22"/>
              </w:rPr>
              <w:t xml:space="preserve"> 2025-2026.</w:t>
            </w:r>
          </w:p>
        </w:tc>
      </w:tr>
      <w:tr w:rsidR="00196F8E" w:rsidRPr="00B557CA" w14:paraId="649EE78F" w14:textId="77777777" w:rsidTr="00196F8E">
        <w:tc>
          <w:tcPr>
            <w:tcW w:w="4743" w:type="dxa"/>
            <w:shd w:val="clear" w:color="auto" w:fill="00B050"/>
          </w:tcPr>
          <w:p w14:paraId="2073C2C1"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sz w:val="22"/>
                <w:szCs w:val="22"/>
              </w:rPr>
              <w:t xml:space="preserve">To continue to strengthen whole school ethos and vison for disadvantaged. </w:t>
            </w:r>
          </w:p>
          <w:p w14:paraId="14031EFD"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56C87E37" w14:textId="1C4F1765" w:rsidR="00196F8E" w:rsidRPr="00B557CA" w:rsidRDefault="00196F8E" w:rsidP="00CC50CF">
            <w:pPr>
              <w:suppressAutoHyphens w:val="0"/>
              <w:spacing w:after="0" w:line="240" w:lineRule="auto"/>
              <w:rPr>
                <w:rFonts w:ascii="Arial" w:hAnsi="Arial" w:cs="Arial"/>
                <w:b/>
                <w:bCs/>
                <w:color w:val="auto"/>
                <w:sz w:val="22"/>
                <w:szCs w:val="22"/>
              </w:rPr>
            </w:pPr>
            <w:r w:rsidRPr="00B557CA">
              <w:rPr>
                <w:rFonts w:ascii="Arial" w:hAnsi="Arial" w:cs="Arial"/>
                <w:b/>
                <w:bCs/>
                <w:color w:val="auto"/>
                <w:sz w:val="22"/>
                <w:szCs w:val="22"/>
              </w:rPr>
              <w:t xml:space="preserve">Achieved and Ongoing: </w:t>
            </w:r>
            <w:r w:rsidRPr="00B557CA">
              <w:rPr>
                <w:rFonts w:ascii="Arial" w:hAnsi="Arial" w:cs="Arial"/>
                <w:color w:val="auto"/>
                <w:sz w:val="22"/>
                <w:szCs w:val="22"/>
              </w:rPr>
              <w:t>Staff have</w:t>
            </w:r>
            <w:r w:rsidR="007022BE" w:rsidRPr="00B557CA">
              <w:rPr>
                <w:rFonts w:ascii="Arial" w:hAnsi="Arial" w:cs="Arial"/>
                <w:color w:val="auto"/>
                <w:sz w:val="22"/>
                <w:szCs w:val="22"/>
              </w:rPr>
              <w:t xml:space="preserve"> </w:t>
            </w:r>
            <w:r w:rsidRPr="00B557CA">
              <w:rPr>
                <w:rFonts w:ascii="Arial" w:hAnsi="Arial" w:cs="Arial"/>
                <w:color w:val="auto"/>
                <w:sz w:val="22"/>
                <w:szCs w:val="22"/>
              </w:rPr>
              <w:t>strong understanding of the needs of disadvantaged pupils. To support this, vulnerable group registers were introduced in September</w:t>
            </w:r>
            <w:r w:rsidR="00B1168F" w:rsidRPr="00B557CA">
              <w:rPr>
                <w:rFonts w:ascii="Arial" w:hAnsi="Arial" w:cs="Arial"/>
                <w:color w:val="auto"/>
                <w:sz w:val="22"/>
                <w:szCs w:val="22"/>
              </w:rPr>
              <w:t xml:space="preserve"> 2024</w:t>
            </w:r>
            <w:r w:rsidRPr="00B557CA">
              <w:rPr>
                <w:rFonts w:ascii="Arial" w:hAnsi="Arial" w:cs="Arial"/>
                <w:color w:val="auto"/>
                <w:sz w:val="22"/>
                <w:szCs w:val="22"/>
              </w:rPr>
              <w:t>, providing teachers with a clear understanding of specific needs within their classes. This initiative reinforces the whole-school ethos and vision for supporting disadvantaged students.</w:t>
            </w:r>
            <w:r w:rsidR="00647838" w:rsidRPr="00B557CA">
              <w:rPr>
                <w:rFonts w:ascii="Arial" w:hAnsi="Arial" w:cs="Arial"/>
                <w:color w:val="auto"/>
                <w:sz w:val="22"/>
                <w:szCs w:val="22"/>
              </w:rPr>
              <w:t xml:space="preserve"> </w:t>
            </w:r>
            <w:r w:rsidR="00687BBF" w:rsidRPr="00B557CA">
              <w:rPr>
                <w:rFonts w:ascii="Arial" w:hAnsi="Arial" w:cs="Arial"/>
                <w:color w:val="auto"/>
                <w:sz w:val="22"/>
                <w:szCs w:val="22"/>
              </w:rPr>
              <w:t>To ensure the information remains current, teachers will be reminded of the registers in September 2025 and supported in updating them as necessary.</w:t>
            </w:r>
          </w:p>
        </w:tc>
      </w:tr>
      <w:tr w:rsidR="00196F8E" w:rsidRPr="00B557CA" w14:paraId="6234431C" w14:textId="77777777" w:rsidTr="00196F8E">
        <w:tc>
          <w:tcPr>
            <w:tcW w:w="4743" w:type="dxa"/>
            <w:shd w:val="clear" w:color="auto" w:fill="00B050"/>
          </w:tcPr>
          <w:p w14:paraId="3F264226" w14:textId="77777777" w:rsidR="00196F8E" w:rsidRPr="00B557CA" w:rsidRDefault="00196F8E" w:rsidP="00CC50CF">
            <w:pPr>
              <w:pStyle w:val="TableRow"/>
              <w:spacing w:before="0" w:after="0"/>
              <w:ind w:left="0"/>
              <w:rPr>
                <w:rFonts w:ascii="Arial" w:hAnsi="Arial" w:cs="Arial"/>
                <w:sz w:val="22"/>
                <w:szCs w:val="22"/>
              </w:rPr>
            </w:pPr>
            <w:r w:rsidRPr="00B557CA">
              <w:rPr>
                <w:rFonts w:ascii="Arial" w:hAnsi="Arial" w:cs="Arial"/>
                <w:sz w:val="22"/>
                <w:szCs w:val="22"/>
              </w:rPr>
              <w:t>Reading volunteers targeted to support disadvantaged readers.</w:t>
            </w:r>
          </w:p>
          <w:p w14:paraId="39C4868B"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436A5B10" w14:textId="31403851" w:rsidR="00196F8E" w:rsidRPr="00B557CA" w:rsidRDefault="00196F8E" w:rsidP="00CC50CF">
            <w:pPr>
              <w:spacing w:after="0" w:line="240" w:lineRule="auto"/>
              <w:rPr>
                <w:rFonts w:ascii="Arial" w:hAnsi="Arial" w:cs="Arial"/>
                <w:b/>
                <w:bCs/>
                <w:sz w:val="22"/>
                <w:szCs w:val="22"/>
              </w:rPr>
            </w:pPr>
            <w:r w:rsidRPr="00B557CA">
              <w:rPr>
                <w:rFonts w:ascii="Arial" w:hAnsi="Arial" w:cs="Arial"/>
                <w:b/>
                <w:bCs/>
                <w:sz w:val="22"/>
                <w:szCs w:val="22"/>
              </w:rPr>
              <w:t xml:space="preserve">Achieved: </w:t>
            </w:r>
            <w:r w:rsidRPr="00B557CA">
              <w:rPr>
                <w:rFonts w:ascii="Arial" w:hAnsi="Arial" w:cs="Arial"/>
                <w:sz w:val="22"/>
                <w:szCs w:val="22"/>
              </w:rPr>
              <w:t>All year groups ha</w:t>
            </w:r>
            <w:r w:rsidR="00447D83" w:rsidRPr="00B557CA">
              <w:rPr>
                <w:rFonts w:ascii="Arial" w:hAnsi="Arial" w:cs="Arial"/>
                <w:sz w:val="22"/>
                <w:szCs w:val="22"/>
              </w:rPr>
              <w:t>d</w:t>
            </w:r>
            <w:r w:rsidRPr="00B557CA">
              <w:rPr>
                <w:rFonts w:ascii="Arial" w:hAnsi="Arial" w:cs="Arial"/>
                <w:sz w:val="22"/>
                <w:szCs w:val="22"/>
              </w:rPr>
              <w:t xml:space="preserve"> reading volunteers </w:t>
            </w:r>
            <w:r w:rsidR="00447D83" w:rsidRPr="00B557CA">
              <w:rPr>
                <w:rFonts w:ascii="Arial" w:hAnsi="Arial" w:cs="Arial"/>
                <w:sz w:val="22"/>
                <w:szCs w:val="22"/>
              </w:rPr>
              <w:t>to</w:t>
            </w:r>
            <w:r w:rsidRPr="00B557CA">
              <w:rPr>
                <w:rFonts w:ascii="Arial" w:hAnsi="Arial" w:cs="Arial"/>
                <w:sz w:val="22"/>
                <w:szCs w:val="22"/>
              </w:rPr>
              <w:t xml:space="preserve"> support the</w:t>
            </w:r>
            <w:r w:rsidR="00447D83" w:rsidRPr="00B557CA">
              <w:rPr>
                <w:rFonts w:ascii="Arial" w:hAnsi="Arial" w:cs="Arial"/>
                <w:sz w:val="22"/>
                <w:szCs w:val="22"/>
              </w:rPr>
              <w:t>ir</w:t>
            </w:r>
            <w:r w:rsidRPr="00B557CA">
              <w:rPr>
                <w:rFonts w:ascii="Arial" w:hAnsi="Arial" w:cs="Arial"/>
                <w:sz w:val="22"/>
                <w:szCs w:val="22"/>
              </w:rPr>
              <w:t xml:space="preserve"> bottom 20% readers. This positively impact</w:t>
            </w:r>
            <w:r w:rsidR="00447D83" w:rsidRPr="00B557CA">
              <w:rPr>
                <w:rFonts w:ascii="Arial" w:hAnsi="Arial" w:cs="Arial"/>
                <w:sz w:val="22"/>
                <w:szCs w:val="22"/>
              </w:rPr>
              <w:t>ed</w:t>
            </w:r>
            <w:r w:rsidRPr="00B557CA">
              <w:rPr>
                <w:rFonts w:ascii="Arial" w:hAnsi="Arial" w:cs="Arial"/>
                <w:sz w:val="22"/>
                <w:szCs w:val="22"/>
              </w:rPr>
              <w:t xml:space="preserve"> </w:t>
            </w:r>
            <w:r w:rsidR="00300651" w:rsidRPr="00B557CA">
              <w:rPr>
                <w:rFonts w:ascii="Arial" w:hAnsi="Arial" w:cs="Arial"/>
                <w:sz w:val="22"/>
                <w:szCs w:val="22"/>
              </w:rPr>
              <w:t xml:space="preserve">pupils’ </w:t>
            </w:r>
            <w:r w:rsidRPr="00B557CA">
              <w:rPr>
                <w:rFonts w:ascii="Arial" w:hAnsi="Arial" w:cs="Arial"/>
                <w:sz w:val="22"/>
                <w:szCs w:val="22"/>
              </w:rPr>
              <w:t>reading skills and boost</w:t>
            </w:r>
            <w:r w:rsidR="00AE370E" w:rsidRPr="00B557CA">
              <w:rPr>
                <w:rFonts w:ascii="Arial" w:hAnsi="Arial" w:cs="Arial"/>
                <w:sz w:val="22"/>
                <w:szCs w:val="22"/>
              </w:rPr>
              <w:t>ed</w:t>
            </w:r>
            <w:r w:rsidRPr="00B557CA">
              <w:rPr>
                <w:rFonts w:ascii="Arial" w:hAnsi="Arial" w:cs="Arial"/>
                <w:sz w:val="22"/>
                <w:szCs w:val="22"/>
              </w:rPr>
              <w:t xml:space="preserve"> their enjoyment.</w:t>
            </w:r>
          </w:p>
        </w:tc>
      </w:tr>
      <w:tr w:rsidR="00196F8E" w:rsidRPr="00B557CA" w14:paraId="2C4C2737" w14:textId="77777777" w:rsidTr="00196F8E">
        <w:tc>
          <w:tcPr>
            <w:tcW w:w="4743" w:type="dxa"/>
            <w:shd w:val="clear" w:color="auto" w:fill="00B050"/>
          </w:tcPr>
          <w:p w14:paraId="09FF8242" w14:textId="77777777" w:rsidR="00196F8E" w:rsidRPr="00B557CA" w:rsidRDefault="00196F8E" w:rsidP="00CC50CF">
            <w:pPr>
              <w:pStyle w:val="TableRow"/>
              <w:spacing w:before="0" w:after="0"/>
              <w:rPr>
                <w:rFonts w:ascii="Arial" w:hAnsi="Arial" w:cs="Arial"/>
                <w:sz w:val="22"/>
                <w:szCs w:val="22"/>
              </w:rPr>
            </w:pPr>
            <w:r w:rsidRPr="00B557CA">
              <w:rPr>
                <w:rFonts w:ascii="Arial" w:hAnsi="Arial" w:cs="Arial"/>
                <w:sz w:val="22"/>
                <w:szCs w:val="22"/>
              </w:rPr>
              <w:t>Internal interventions – additional reading &amp; comprehension materials.</w:t>
            </w:r>
          </w:p>
          <w:p w14:paraId="2A34E5D6"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754DC7B3" w14:textId="758CCF52" w:rsidR="00196F8E" w:rsidRPr="00B557CA" w:rsidRDefault="00196F8E" w:rsidP="00CC50CF">
            <w:pPr>
              <w:spacing w:after="0" w:line="240" w:lineRule="auto"/>
              <w:rPr>
                <w:rFonts w:ascii="Arial" w:hAnsi="Arial" w:cs="Arial"/>
                <w:sz w:val="22"/>
                <w:szCs w:val="22"/>
              </w:rPr>
            </w:pPr>
            <w:r w:rsidRPr="00B557CA">
              <w:rPr>
                <w:rFonts w:ascii="Arial" w:hAnsi="Arial" w:cs="Arial"/>
                <w:b/>
                <w:bCs/>
                <w:sz w:val="22"/>
                <w:szCs w:val="22"/>
              </w:rPr>
              <w:t>Achieved and Ongoing:</w:t>
            </w:r>
            <w:r w:rsidR="0050067D" w:rsidRPr="00B557CA">
              <w:rPr>
                <w:rFonts w:ascii="Arial" w:hAnsi="Arial" w:cs="Arial"/>
                <w:b/>
                <w:bCs/>
                <w:sz w:val="22"/>
                <w:szCs w:val="22"/>
              </w:rPr>
              <w:t xml:space="preserve"> </w:t>
            </w:r>
            <w:r w:rsidR="006A278F" w:rsidRPr="00B557CA">
              <w:rPr>
                <w:rFonts w:ascii="Arial" w:hAnsi="Arial" w:cs="Arial"/>
                <w:sz w:val="22"/>
                <w:szCs w:val="22"/>
              </w:rPr>
              <w:t xml:space="preserve"> </w:t>
            </w:r>
            <w:r w:rsidR="00AC72E1" w:rsidRPr="00B557CA">
              <w:rPr>
                <w:rFonts w:ascii="Arial" w:hAnsi="Arial" w:cs="Arial"/>
                <w:sz w:val="22"/>
                <w:szCs w:val="22"/>
              </w:rPr>
              <w:t xml:space="preserve">Additional interventions </w:t>
            </w:r>
            <w:r w:rsidR="009F180F" w:rsidRPr="00B557CA">
              <w:rPr>
                <w:rFonts w:ascii="Arial" w:hAnsi="Arial" w:cs="Arial"/>
                <w:sz w:val="22"/>
                <w:szCs w:val="22"/>
              </w:rPr>
              <w:t>were implemented w</w:t>
            </w:r>
            <w:r w:rsidR="007022BE" w:rsidRPr="00B557CA">
              <w:rPr>
                <w:rFonts w:ascii="Arial" w:hAnsi="Arial" w:cs="Arial"/>
                <w:sz w:val="22"/>
                <w:szCs w:val="22"/>
              </w:rPr>
              <w:t>h</w:t>
            </w:r>
            <w:r w:rsidR="009F180F" w:rsidRPr="00B557CA">
              <w:rPr>
                <w:rFonts w:ascii="Arial" w:hAnsi="Arial" w:cs="Arial"/>
                <w:sz w:val="22"/>
                <w:szCs w:val="22"/>
              </w:rPr>
              <w:t>ere needed</w:t>
            </w:r>
            <w:r w:rsidR="007022BE" w:rsidRPr="00B557CA">
              <w:rPr>
                <w:rFonts w:ascii="Arial" w:hAnsi="Arial" w:cs="Arial"/>
                <w:sz w:val="22"/>
                <w:szCs w:val="22"/>
              </w:rPr>
              <w:t>,</w:t>
            </w:r>
            <w:r w:rsidR="009F180F" w:rsidRPr="00B557CA">
              <w:rPr>
                <w:rFonts w:ascii="Arial" w:hAnsi="Arial" w:cs="Arial"/>
                <w:sz w:val="22"/>
                <w:szCs w:val="22"/>
              </w:rPr>
              <w:t xml:space="preserve"> including Fresh Start, RWInc</w:t>
            </w:r>
            <w:r w:rsidR="00203BF8" w:rsidRPr="00B557CA">
              <w:rPr>
                <w:rFonts w:ascii="Arial" w:hAnsi="Arial" w:cs="Arial"/>
                <w:sz w:val="22"/>
                <w:szCs w:val="22"/>
              </w:rPr>
              <w:t xml:space="preserve"> Phonics, handwriting, maths and comprehension skills</w:t>
            </w:r>
            <w:r w:rsidR="009F180F" w:rsidRPr="00B557CA">
              <w:rPr>
                <w:rFonts w:ascii="Arial" w:hAnsi="Arial" w:cs="Arial"/>
                <w:sz w:val="22"/>
                <w:szCs w:val="22"/>
              </w:rPr>
              <w:t xml:space="preserve">. </w:t>
            </w:r>
            <w:r w:rsidR="001D2758" w:rsidRPr="00B557CA">
              <w:rPr>
                <w:rFonts w:ascii="Arial" w:hAnsi="Arial" w:cs="Arial"/>
                <w:sz w:val="22"/>
                <w:szCs w:val="22"/>
              </w:rPr>
              <w:t xml:space="preserve">These were closely monitored by YTLs and teachers and progress of individual children was discussed in Pupil </w:t>
            </w:r>
            <w:r w:rsidR="00203BF8" w:rsidRPr="00B557CA">
              <w:rPr>
                <w:rFonts w:ascii="Arial" w:hAnsi="Arial" w:cs="Arial"/>
                <w:sz w:val="22"/>
                <w:szCs w:val="22"/>
              </w:rPr>
              <w:t>Progress</w:t>
            </w:r>
            <w:r w:rsidR="001D2758" w:rsidRPr="00B557CA">
              <w:rPr>
                <w:rFonts w:ascii="Arial" w:hAnsi="Arial" w:cs="Arial"/>
                <w:sz w:val="22"/>
                <w:szCs w:val="22"/>
              </w:rPr>
              <w:t xml:space="preserve"> Meetings. The interventions </w:t>
            </w:r>
            <w:r w:rsidR="008E7E65" w:rsidRPr="00B557CA">
              <w:rPr>
                <w:rFonts w:ascii="Arial" w:hAnsi="Arial" w:cs="Arial"/>
                <w:sz w:val="22"/>
                <w:szCs w:val="22"/>
              </w:rPr>
              <w:t xml:space="preserve">supported closing </w:t>
            </w:r>
            <w:r w:rsidR="001D2758" w:rsidRPr="00B557CA">
              <w:rPr>
                <w:rFonts w:ascii="Arial" w:hAnsi="Arial" w:cs="Arial"/>
                <w:sz w:val="22"/>
                <w:szCs w:val="22"/>
              </w:rPr>
              <w:t>gaps for most children and helped them make progress.</w:t>
            </w:r>
          </w:p>
          <w:p w14:paraId="4A61FDA3" w14:textId="6FFB3C6B" w:rsidR="00C92573" w:rsidRPr="00B557CA" w:rsidRDefault="00C92573" w:rsidP="00CC50CF">
            <w:pPr>
              <w:spacing w:after="0" w:line="240" w:lineRule="auto"/>
              <w:rPr>
                <w:rFonts w:ascii="Arial" w:hAnsi="Arial" w:cs="Arial"/>
                <w:sz w:val="22"/>
                <w:szCs w:val="22"/>
              </w:rPr>
            </w:pPr>
          </w:p>
        </w:tc>
      </w:tr>
      <w:tr w:rsidR="00196F8E" w:rsidRPr="00B557CA" w14:paraId="3C79F217" w14:textId="77777777" w:rsidTr="00196F8E">
        <w:tc>
          <w:tcPr>
            <w:tcW w:w="4743" w:type="dxa"/>
            <w:shd w:val="clear" w:color="auto" w:fill="00B050"/>
          </w:tcPr>
          <w:p w14:paraId="00892A06"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sz w:val="22"/>
                <w:szCs w:val="22"/>
              </w:rPr>
              <w:t xml:space="preserve">Provide support through ELSA where needed. </w:t>
            </w:r>
          </w:p>
          <w:p w14:paraId="291DCEC5"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779223F2" w14:textId="38A2324A" w:rsidR="00196F8E" w:rsidRPr="00B557CA" w:rsidRDefault="00196F8E" w:rsidP="00CC50CF">
            <w:pPr>
              <w:spacing w:after="0" w:line="240" w:lineRule="auto"/>
              <w:rPr>
                <w:rFonts w:ascii="Arial" w:hAnsi="Arial" w:cs="Arial"/>
                <w:sz w:val="22"/>
                <w:szCs w:val="22"/>
              </w:rPr>
            </w:pPr>
            <w:r w:rsidRPr="00B557CA">
              <w:rPr>
                <w:rFonts w:ascii="Arial" w:hAnsi="Arial" w:cs="Arial"/>
                <w:b/>
                <w:bCs/>
                <w:sz w:val="22"/>
                <w:szCs w:val="22"/>
              </w:rPr>
              <w:t xml:space="preserve">Achieved and Ongoing: </w:t>
            </w:r>
            <w:r w:rsidRPr="00B557CA">
              <w:rPr>
                <w:rFonts w:ascii="Arial" w:hAnsi="Arial" w:cs="Arial"/>
                <w:sz w:val="22"/>
                <w:szCs w:val="22"/>
              </w:rPr>
              <w:t xml:space="preserve">ELSA </w:t>
            </w:r>
            <w:r w:rsidR="004F03E5" w:rsidRPr="00B557CA">
              <w:rPr>
                <w:rFonts w:ascii="Arial" w:hAnsi="Arial" w:cs="Arial"/>
                <w:sz w:val="22"/>
                <w:szCs w:val="22"/>
              </w:rPr>
              <w:t>provided</w:t>
            </w:r>
            <w:r w:rsidRPr="00B557CA">
              <w:rPr>
                <w:rFonts w:ascii="Arial" w:hAnsi="Arial" w:cs="Arial"/>
                <w:sz w:val="22"/>
                <w:szCs w:val="22"/>
              </w:rPr>
              <w:t xml:space="preserve"> tailored, personalised support through 1:1 and group sessions. Support </w:t>
            </w:r>
            <w:r w:rsidR="004F03E5" w:rsidRPr="00B557CA">
              <w:rPr>
                <w:rFonts w:ascii="Arial" w:hAnsi="Arial" w:cs="Arial"/>
                <w:sz w:val="22"/>
                <w:szCs w:val="22"/>
              </w:rPr>
              <w:t xml:space="preserve">was </w:t>
            </w:r>
            <w:r w:rsidRPr="00B557CA">
              <w:rPr>
                <w:rFonts w:ascii="Arial" w:hAnsi="Arial" w:cs="Arial"/>
                <w:sz w:val="22"/>
                <w:szCs w:val="22"/>
              </w:rPr>
              <w:t xml:space="preserve">extended through parent calls and resources </w:t>
            </w:r>
            <w:r w:rsidR="003C0A83" w:rsidRPr="00B557CA">
              <w:rPr>
                <w:rFonts w:ascii="Arial" w:hAnsi="Arial" w:cs="Arial"/>
                <w:sz w:val="22"/>
                <w:szCs w:val="22"/>
              </w:rPr>
              <w:t xml:space="preserve">being </w:t>
            </w:r>
            <w:r w:rsidRPr="00B557CA">
              <w:rPr>
                <w:rFonts w:ascii="Arial" w:hAnsi="Arial" w:cs="Arial"/>
                <w:sz w:val="22"/>
                <w:szCs w:val="22"/>
              </w:rPr>
              <w:t>sent home. This approach has had a positive impact on pupils’ and families’ SEMH (Social, Emotional, and Mental Health). 29% of PP children received support from</w:t>
            </w:r>
            <w:r w:rsidR="008E7E65" w:rsidRPr="00B557CA">
              <w:rPr>
                <w:rFonts w:ascii="Arial" w:hAnsi="Arial" w:cs="Arial"/>
                <w:sz w:val="22"/>
                <w:szCs w:val="22"/>
              </w:rPr>
              <w:t xml:space="preserve"> the</w:t>
            </w:r>
            <w:r w:rsidRPr="00B557CA">
              <w:rPr>
                <w:rFonts w:ascii="Arial" w:hAnsi="Arial" w:cs="Arial"/>
                <w:sz w:val="22"/>
                <w:szCs w:val="22"/>
              </w:rPr>
              <w:t xml:space="preserve"> ELSA, contributing to their emotional well-being and overall engagement in school.</w:t>
            </w:r>
          </w:p>
        </w:tc>
      </w:tr>
      <w:tr w:rsidR="00196F8E" w:rsidRPr="00B557CA" w14:paraId="7CF07C87" w14:textId="77777777" w:rsidTr="00196F8E">
        <w:tc>
          <w:tcPr>
            <w:tcW w:w="4743" w:type="dxa"/>
            <w:shd w:val="clear" w:color="auto" w:fill="FFC000"/>
          </w:tcPr>
          <w:p w14:paraId="5D6DC51A" w14:textId="77777777" w:rsidR="00196F8E" w:rsidRDefault="00196F8E" w:rsidP="00CC50CF">
            <w:pPr>
              <w:spacing w:after="0" w:line="240" w:lineRule="auto"/>
              <w:rPr>
                <w:rFonts w:ascii="Arial" w:hAnsi="Arial" w:cs="Arial"/>
                <w:sz w:val="22"/>
                <w:szCs w:val="22"/>
              </w:rPr>
            </w:pPr>
            <w:r w:rsidRPr="00B557CA">
              <w:rPr>
                <w:rFonts w:ascii="Arial" w:hAnsi="Arial" w:cs="Arial"/>
                <w:sz w:val="22"/>
                <w:szCs w:val="22"/>
              </w:rPr>
              <w:t>Inclusion service supporting school and working with vulnerable families to improve attendance.</w:t>
            </w:r>
          </w:p>
          <w:p w14:paraId="4AB2C722" w14:textId="77777777" w:rsidR="00A2545A" w:rsidRDefault="00A2545A" w:rsidP="00CC50CF">
            <w:pPr>
              <w:spacing w:after="0" w:line="240" w:lineRule="auto"/>
              <w:rPr>
                <w:rFonts w:ascii="Arial" w:hAnsi="Arial" w:cs="Arial"/>
                <w:sz w:val="22"/>
                <w:szCs w:val="22"/>
              </w:rPr>
            </w:pPr>
          </w:p>
          <w:p w14:paraId="2D491F45" w14:textId="53BF492D" w:rsidR="00A2545A" w:rsidRPr="00A2545A" w:rsidRDefault="00A2545A" w:rsidP="00CC50CF">
            <w:pPr>
              <w:spacing w:after="0" w:line="240" w:lineRule="auto"/>
              <w:rPr>
                <w:rFonts w:ascii="Arial" w:hAnsi="Arial" w:cs="Arial"/>
                <w:b/>
                <w:bCs/>
                <w:sz w:val="22"/>
                <w:szCs w:val="22"/>
              </w:rPr>
            </w:pPr>
            <w:r w:rsidRPr="00A2545A">
              <w:rPr>
                <w:rFonts w:ascii="Arial" w:hAnsi="Arial" w:cs="Arial"/>
                <w:b/>
                <w:bCs/>
                <w:color w:val="FF0000"/>
                <w:sz w:val="22"/>
                <w:szCs w:val="22"/>
              </w:rPr>
              <w:t>Spring and Summer to be added – awaiting for information.</w:t>
            </w:r>
          </w:p>
        </w:tc>
        <w:tc>
          <w:tcPr>
            <w:tcW w:w="5512" w:type="dxa"/>
            <w:shd w:val="clear" w:color="auto" w:fill="FFC000"/>
          </w:tcPr>
          <w:p w14:paraId="69415568" w14:textId="03B9B40D" w:rsidR="00196F8E" w:rsidRPr="00B557CA" w:rsidRDefault="00196F8E" w:rsidP="00CC50CF">
            <w:pPr>
              <w:pStyle w:val="TableRow"/>
              <w:spacing w:before="0" w:after="0"/>
              <w:ind w:left="0"/>
              <w:rPr>
                <w:rFonts w:ascii="Arial" w:hAnsi="Arial" w:cs="Arial"/>
                <w:color w:val="FF0000"/>
                <w:sz w:val="22"/>
                <w:szCs w:val="22"/>
              </w:rPr>
            </w:pPr>
            <w:r w:rsidRPr="00B557CA">
              <w:rPr>
                <w:rFonts w:ascii="Arial" w:hAnsi="Arial" w:cs="Arial"/>
                <w:b/>
                <w:bCs/>
                <w:color w:val="FF0000"/>
                <w:sz w:val="22"/>
                <w:szCs w:val="22"/>
              </w:rPr>
              <w:t>Ongoing:</w:t>
            </w:r>
            <w:r w:rsidRPr="00B557CA">
              <w:rPr>
                <w:rFonts w:ascii="Arial" w:hAnsi="Arial" w:cs="Arial"/>
                <w:color w:val="FF0000"/>
                <w:sz w:val="22"/>
                <w:szCs w:val="22"/>
              </w:rPr>
              <w:t xml:space="preserve"> </w:t>
            </w:r>
            <w:r w:rsidR="00B0005F">
              <w:rPr>
                <w:rFonts w:ascii="Arial" w:hAnsi="Arial" w:cs="Arial"/>
                <w:color w:val="FF0000"/>
                <w:sz w:val="22"/>
                <w:szCs w:val="22"/>
              </w:rPr>
              <w:t xml:space="preserve">Spring 1  - </w:t>
            </w:r>
            <w:r w:rsidRPr="00B557CA">
              <w:rPr>
                <w:rFonts w:ascii="Arial" w:hAnsi="Arial" w:cs="Arial"/>
                <w:color w:val="FF0000"/>
                <w:sz w:val="22"/>
                <w:szCs w:val="22"/>
              </w:rPr>
              <w:t>PP attendance</w:t>
            </w:r>
            <w:r w:rsidR="00DC708E">
              <w:rPr>
                <w:rFonts w:ascii="Arial" w:hAnsi="Arial" w:cs="Arial"/>
                <w:color w:val="FF0000"/>
                <w:sz w:val="22"/>
                <w:szCs w:val="22"/>
              </w:rPr>
              <w:t xml:space="preserve"> is</w:t>
            </w:r>
            <w:r w:rsidRPr="00B557CA">
              <w:rPr>
                <w:rFonts w:ascii="Arial" w:hAnsi="Arial" w:cs="Arial"/>
                <w:color w:val="FF0000"/>
                <w:sz w:val="22"/>
                <w:szCs w:val="22"/>
              </w:rPr>
              <w:t xml:space="preserve"> 4.4% lower than overall attendance and 3.3% lower than national attendance. However, the gap has improved between Spring 1.3 and Spring 1.6, and this continues to be closely monitored. The Inclusion team, HSLW, class teachers and SLT are working with individual students and families to improve attendance.</w:t>
            </w:r>
            <w:r w:rsidRPr="00B557CA">
              <w:rPr>
                <w:rFonts w:ascii="Arial" w:hAnsi="Arial" w:cs="Arial"/>
                <w:color w:val="FF0000"/>
                <w:sz w:val="22"/>
                <w:szCs w:val="22"/>
              </w:rPr>
              <w:br/>
            </w:r>
            <w:r w:rsidRPr="00B557CA">
              <w:rPr>
                <w:rFonts w:cs="Arial"/>
                <w:noProof/>
                <w:color w:val="FF0000"/>
                <w:sz w:val="22"/>
                <w:szCs w:val="22"/>
              </w:rPr>
              <w:drawing>
                <wp:inline distT="0" distB="0" distL="0" distR="0" wp14:anchorId="4F1A5EBD" wp14:editId="41B164B5">
                  <wp:extent cx="2703270" cy="822598"/>
                  <wp:effectExtent l="0" t="0" r="1905" b="0"/>
                  <wp:docPr id="2057765224"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65224" name="Picture 1" descr="A table with numbers and percentages&#10;&#10;AI-generated content may be incorrect."/>
                          <pic:cNvPicPr/>
                        </pic:nvPicPr>
                        <pic:blipFill>
                          <a:blip r:embed="rId10"/>
                          <a:stretch>
                            <a:fillRect/>
                          </a:stretch>
                        </pic:blipFill>
                        <pic:spPr>
                          <a:xfrm>
                            <a:off x="0" y="0"/>
                            <a:ext cx="2718891" cy="827352"/>
                          </a:xfrm>
                          <a:prstGeom prst="rect">
                            <a:avLst/>
                          </a:prstGeom>
                        </pic:spPr>
                      </pic:pic>
                    </a:graphicData>
                  </a:graphic>
                </wp:inline>
              </w:drawing>
            </w:r>
          </w:p>
          <w:p w14:paraId="0A767198" w14:textId="77777777" w:rsidR="00196F8E" w:rsidRPr="00B557CA" w:rsidRDefault="00196F8E" w:rsidP="00CC50CF">
            <w:pPr>
              <w:spacing w:after="0" w:line="240" w:lineRule="auto"/>
              <w:rPr>
                <w:rFonts w:ascii="Arial" w:hAnsi="Arial" w:cs="Arial"/>
                <w:sz w:val="22"/>
                <w:szCs w:val="22"/>
              </w:rPr>
            </w:pPr>
          </w:p>
        </w:tc>
      </w:tr>
      <w:tr w:rsidR="00196F8E" w:rsidRPr="00B557CA" w14:paraId="4D261F4F" w14:textId="77777777" w:rsidTr="00196F8E">
        <w:trPr>
          <w:trHeight w:val="80"/>
        </w:trPr>
        <w:tc>
          <w:tcPr>
            <w:tcW w:w="4743" w:type="dxa"/>
            <w:shd w:val="clear" w:color="auto" w:fill="FFC000"/>
          </w:tcPr>
          <w:p w14:paraId="30E63C9B" w14:textId="77777777" w:rsidR="00196F8E" w:rsidRPr="00B557CA" w:rsidRDefault="00196F8E" w:rsidP="00CC50CF">
            <w:pPr>
              <w:pStyle w:val="TableRowCentered"/>
              <w:spacing w:before="0" w:after="0"/>
              <w:jc w:val="left"/>
              <w:rPr>
                <w:rFonts w:ascii="Arial" w:hAnsi="Arial" w:cs="Arial"/>
                <w:sz w:val="22"/>
                <w:szCs w:val="22"/>
              </w:rPr>
            </w:pPr>
            <w:r w:rsidRPr="00B557CA">
              <w:rPr>
                <w:rFonts w:ascii="Arial" w:hAnsi="Arial" w:cs="Arial"/>
                <w:sz w:val="22"/>
                <w:szCs w:val="22"/>
              </w:rPr>
              <w:t xml:space="preserve">Supporting families’ financially Voucher Scheme: £30 a year voucher provided to pay towards trips, clubs or uniform. Additional £75 available to pay towards residentials in Years 4,5 and 6. </w:t>
            </w:r>
          </w:p>
          <w:p w14:paraId="0BAFE000" w14:textId="77777777" w:rsidR="00196F8E" w:rsidRPr="00B557CA" w:rsidRDefault="00196F8E" w:rsidP="00CC50CF">
            <w:pPr>
              <w:pStyle w:val="TableRow"/>
              <w:spacing w:before="0" w:after="0"/>
              <w:rPr>
                <w:rFonts w:ascii="Arial" w:hAnsi="Arial" w:cs="Arial"/>
                <w:sz w:val="22"/>
                <w:szCs w:val="22"/>
              </w:rPr>
            </w:pPr>
          </w:p>
          <w:p w14:paraId="753123BB" w14:textId="77777777" w:rsidR="00196F8E" w:rsidRPr="00B557CA" w:rsidRDefault="00196F8E" w:rsidP="00CC50CF">
            <w:pPr>
              <w:pStyle w:val="TableRow"/>
              <w:spacing w:before="0" w:after="0"/>
              <w:ind w:left="0"/>
              <w:rPr>
                <w:rFonts w:ascii="Arial" w:hAnsi="Arial" w:cs="Arial"/>
                <w:sz w:val="22"/>
                <w:szCs w:val="22"/>
              </w:rPr>
            </w:pPr>
          </w:p>
          <w:p w14:paraId="7934C4ED" w14:textId="77777777" w:rsidR="00196F8E" w:rsidRPr="00B557CA" w:rsidRDefault="00196F8E" w:rsidP="00CC50CF">
            <w:pPr>
              <w:pStyle w:val="TableRow"/>
              <w:spacing w:before="0" w:after="0"/>
              <w:ind w:left="0"/>
              <w:rPr>
                <w:rFonts w:ascii="Arial" w:hAnsi="Arial" w:cs="Arial"/>
                <w:sz w:val="22"/>
                <w:szCs w:val="22"/>
              </w:rPr>
            </w:pPr>
          </w:p>
          <w:p w14:paraId="7873AC02" w14:textId="77777777" w:rsidR="00196F8E" w:rsidRPr="00B557CA" w:rsidRDefault="00196F8E" w:rsidP="00CC50CF">
            <w:pPr>
              <w:pStyle w:val="TableRow"/>
              <w:spacing w:before="0" w:after="0"/>
              <w:ind w:left="0"/>
              <w:rPr>
                <w:rFonts w:ascii="Arial" w:hAnsi="Arial" w:cs="Arial"/>
                <w:sz w:val="22"/>
                <w:szCs w:val="22"/>
              </w:rPr>
            </w:pPr>
          </w:p>
          <w:p w14:paraId="089AC8EF" w14:textId="77777777" w:rsidR="00196F8E" w:rsidRPr="00B557CA" w:rsidRDefault="00196F8E" w:rsidP="00CC50CF">
            <w:pPr>
              <w:spacing w:after="0" w:line="240" w:lineRule="auto"/>
              <w:rPr>
                <w:rFonts w:ascii="Arial" w:hAnsi="Arial" w:cs="Arial"/>
                <w:sz w:val="22"/>
                <w:szCs w:val="22"/>
              </w:rPr>
            </w:pPr>
          </w:p>
          <w:p w14:paraId="351B2435" w14:textId="77777777" w:rsidR="00196F8E" w:rsidRPr="00B557CA" w:rsidRDefault="00196F8E" w:rsidP="00CC50CF">
            <w:pPr>
              <w:spacing w:after="0" w:line="240" w:lineRule="auto"/>
              <w:rPr>
                <w:rFonts w:ascii="Arial" w:hAnsi="Arial" w:cs="Arial"/>
                <w:sz w:val="22"/>
                <w:szCs w:val="22"/>
              </w:rPr>
            </w:pPr>
          </w:p>
          <w:p w14:paraId="6D48E59C" w14:textId="77777777" w:rsidR="00196F8E" w:rsidRPr="00B557CA" w:rsidRDefault="00196F8E" w:rsidP="00CC50CF">
            <w:pPr>
              <w:spacing w:after="0" w:line="240" w:lineRule="auto"/>
              <w:rPr>
                <w:rFonts w:ascii="Arial" w:hAnsi="Arial" w:cs="Arial"/>
                <w:sz w:val="22"/>
                <w:szCs w:val="22"/>
              </w:rPr>
            </w:pPr>
          </w:p>
          <w:p w14:paraId="209D8224" w14:textId="77777777" w:rsidR="00196F8E" w:rsidRPr="00B557CA" w:rsidRDefault="00196F8E" w:rsidP="00CC50CF">
            <w:pPr>
              <w:spacing w:after="0" w:line="240" w:lineRule="auto"/>
              <w:rPr>
                <w:rFonts w:ascii="Arial" w:hAnsi="Arial" w:cs="Arial"/>
                <w:sz w:val="22"/>
                <w:szCs w:val="22"/>
              </w:rPr>
            </w:pPr>
          </w:p>
          <w:p w14:paraId="55966B47" w14:textId="77777777" w:rsidR="00196F8E" w:rsidRPr="00B557CA" w:rsidRDefault="00196F8E" w:rsidP="00CC50CF">
            <w:pPr>
              <w:spacing w:after="0" w:line="240" w:lineRule="auto"/>
              <w:rPr>
                <w:rFonts w:ascii="Arial" w:hAnsi="Arial" w:cs="Arial"/>
                <w:sz w:val="22"/>
                <w:szCs w:val="22"/>
              </w:rPr>
            </w:pPr>
          </w:p>
          <w:p w14:paraId="069E7896" w14:textId="77777777" w:rsidR="00196F8E" w:rsidRPr="00B557CA" w:rsidRDefault="00196F8E" w:rsidP="00CC50CF">
            <w:pPr>
              <w:spacing w:after="0" w:line="240" w:lineRule="auto"/>
              <w:rPr>
                <w:rFonts w:ascii="Arial" w:hAnsi="Arial" w:cs="Arial"/>
                <w:sz w:val="22"/>
                <w:szCs w:val="22"/>
              </w:rPr>
            </w:pPr>
          </w:p>
          <w:p w14:paraId="0884B44A" w14:textId="77777777" w:rsidR="00196F8E" w:rsidRPr="00B557CA" w:rsidRDefault="00196F8E" w:rsidP="00CC50CF">
            <w:pPr>
              <w:spacing w:after="0" w:line="240" w:lineRule="auto"/>
              <w:rPr>
                <w:rFonts w:ascii="Arial" w:hAnsi="Arial" w:cs="Arial"/>
                <w:sz w:val="22"/>
                <w:szCs w:val="22"/>
              </w:rPr>
            </w:pPr>
          </w:p>
          <w:p w14:paraId="66052B49" w14:textId="77777777" w:rsidR="00196F8E" w:rsidRPr="00B557CA" w:rsidRDefault="00196F8E" w:rsidP="00CC50CF">
            <w:pPr>
              <w:spacing w:after="0" w:line="240" w:lineRule="auto"/>
              <w:rPr>
                <w:rFonts w:ascii="Arial" w:hAnsi="Arial" w:cs="Arial"/>
                <w:sz w:val="22"/>
                <w:szCs w:val="22"/>
              </w:rPr>
            </w:pPr>
          </w:p>
          <w:p w14:paraId="6F5A7665" w14:textId="77777777" w:rsidR="00196F8E" w:rsidRPr="00B557CA" w:rsidRDefault="00196F8E" w:rsidP="00CC50CF">
            <w:pPr>
              <w:spacing w:after="0" w:line="240" w:lineRule="auto"/>
              <w:rPr>
                <w:rFonts w:ascii="Arial" w:hAnsi="Arial" w:cs="Arial"/>
                <w:sz w:val="22"/>
                <w:szCs w:val="22"/>
              </w:rPr>
            </w:pPr>
          </w:p>
          <w:p w14:paraId="7C7CE996" w14:textId="77777777" w:rsidR="00196F8E" w:rsidRPr="00B557CA" w:rsidRDefault="00196F8E" w:rsidP="00CC50CF">
            <w:pPr>
              <w:spacing w:after="0" w:line="240" w:lineRule="auto"/>
              <w:rPr>
                <w:rFonts w:ascii="Arial" w:hAnsi="Arial" w:cs="Arial"/>
                <w:sz w:val="22"/>
                <w:szCs w:val="22"/>
              </w:rPr>
            </w:pPr>
          </w:p>
          <w:p w14:paraId="5F1A2B15" w14:textId="77777777" w:rsidR="00196F8E" w:rsidRPr="00B557CA" w:rsidRDefault="00196F8E" w:rsidP="00CC50CF">
            <w:pPr>
              <w:spacing w:after="0" w:line="240" w:lineRule="auto"/>
              <w:rPr>
                <w:rFonts w:ascii="Arial" w:hAnsi="Arial" w:cs="Arial"/>
                <w:sz w:val="22"/>
                <w:szCs w:val="22"/>
              </w:rPr>
            </w:pPr>
          </w:p>
          <w:p w14:paraId="645D98E2" w14:textId="77777777" w:rsidR="00196F8E" w:rsidRPr="00B557CA" w:rsidRDefault="00196F8E" w:rsidP="00196F8E">
            <w:pPr>
              <w:rPr>
                <w:rFonts w:ascii="Arial" w:hAnsi="Arial" w:cs="Arial"/>
                <w:sz w:val="22"/>
                <w:szCs w:val="22"/>
              </w:rPr>
            </w:pPr>
          </w:p>
        </w:tc>
        <w:tc>
          <w:tcPr>
            <w:tcW w:w="5512" w:type="dxa"/>
            <w:shd w:val="clear" w:color="auto" w:fill="FFC000"/>
          </w:tcPr>
          <w:p w14:paraId="59566BEE" w14:textId="57D5A74B" w:rsidR="00933792" w:rsidRPr="00B557CA" w:rsidRDefault="00196F8E" w:rsidP="00CC50CF">
            <w:pPr>
              <w:suppressAutoHyphens w:val="0"/>
              <w:spacing w:after="0" w:line="240" w:lineRule="auto"/>
              <w:rPr>
                <w:rFonts w:ascii="Arial" w:hAnsi="Arial" w:cs="Arial"/>
                <w:b/>
                <w:bCs/>
                <w:color w:val="000000" w:themeColor="text1"/>
                <w:sz w:val="22"/>
                <w:szCs w:val="22"/>
              </w:rPr>
            </w:pPr>
            <w:r w:rsidRPr="00B557CA">
              <w:rPr>
                <w:rFonts w:ascii="Arial" w:hAnsi="Arial" w:cs="Arial"/>
                <w:b/>
                <w:bCs/>
                <w:color w:val="000000" w:themeColor="text1"/>
                <w:sz w:val="22"/>
                <w:szCs w:val="22"/>
              </w:rPr>
              <w:t>Ongoing</w:t>
            </w:r>
          </w:p>
          <w:p w14:paraId="46867658" w14:textId="5E212F92" w:rsidR="00933792" w:rsidRPr="00933792" w:rsidRDefault="00933792" w:rsidP="00933792">
            <w:pPr>
              <w:suppressAutoHyphens w:val="0"/>
              <w:spacing w:after="0" w:line="240" w:lineRule="auto"/>
              <w:rPr>
                <w:rFonts w:ascii="Arial" w:hAnsi="Arial" w:cs="Arial"/>
                <w:color w:val="000000" w:themeColor="text1"/>
                <w:sz w:val="22"/>
                <w:szCs w:val="22"/>
              </w:rPr>
            </w:pPr>
            <w:r w:rsidRPr="00933792">
              <w:rPr>
                <w:rFonts w:ascii="Arial" w:hAnsi="Arial" w:cs="Arial"/>
                <w:color w:val="000000" w:themeColor="text1"/>
                <w:sz w:val="22"/>
                <w:szCs w:val="22"/>
              </w:rPr>
              <w:t>Across the academic year, The Hermitage Junior School issued 68 children with vouchers for £30 – Total possible spend £2040</w:t>
            </w:r>
            <w:r w:rsidR="008E7E65" w:rsidRPr="00B557CA">
              <w:rPr>
                <w:rFonts w:ascii="Arial" w:hAnsi="Arial" w:cs="Arial"/>
                <w:color w:val="000000" w:themeColor="text1"/>
                <w:sz w:val="22"/>
                <w:szCs w:val="22"/>
              </w:rPr>
              <w:t xml:space="preserve">. </w:t>
            </w:r>
            <w:r w:rsidRPr="00933792">
              <w:rPr>
                <w:rFonts w:ascii="Arial" w:hAnsi="Arial" w:cs="Arial"/>
                <w:color w:val="000000" w:themeColor="text1"/>
                <w:sz w:val="22"/>
                <w:szCs w:val="22"/>
              </w:rPr>
              <w:t xml:space="preserve">49 children </w:t>
            </w:r>
            <w:r w:rsidRPr="00B557CA">
              <w:rPr>
                <w:rFonts w:ascii="Arial" w:hAnsi="Arial" w:cs="Arial"/>
                <w:color w:val="000000" w:themeColor="text1"/>
                <w:sz w:val="22"/>
                <w:szCs w:val="22"/>
              </w:rPr>
              <w:t>were</w:t>
            </w:r>
            <w:r w:rsidRPr="00933792">
              <w:rPr>
                <w:rFonts w:ascii="Arial" w:hAnsi="Arial" w:cs="Arial"/>
                <w:color w:val="000000" w:themeColor="text1"/>
                <w:sz w:val="22"/>
                <w:szCs w:val="22"/>
              </w:rPr>
              <w:t xml:space="preserve"> in Year 4 – 6 and </w:t>
            </w:r>
            <w:r w:rsidRPr="00B557CA">
              <w:rPr>
                <w:rFonts w:ascii="Arial" w:hAnsi="Arial" w:cs="Arial"/>
                <w:color w:val="000000" w:themeColor="text1"/>
                <w:sz w:val="22"/>
                <w:szCs w:val="22"/>
              </w:rPr>
              <w:t>were e</w:t>
            </w:r>
            <w:r w:rsidRPr="00933792">
              <w:rPr>
                <w:rFonts w:ascii="Arial" w:hAnsi="Arial" w:cs="Arial"/>
                <w:color w:val="000000" w:themeColor="text1"/>
                <w:sz w:val="22"/>
                <w:szCs w:val="22"/>
              </w:rPr>
              <w:t>ntitled to a further £75 each towards the years residential trip, totalling £3675</w:t>
            </w:r>
            <w:r w:rsidR="008E7E65" w:rsidRPr="00B557CA">
              <w:rPr>
                <w:rFonts w:ascii="Arial" w:hAnsi="Arial" w:cs="Arial"/>
                <w:color w:val="000000" w:themeColor="text1"/>
                <w:sz w:val="22"/>
                <w:szCs w:val="22"/>
              </w:rPr>
              <w:t xml:space="preserve">. </w:t>
            </w:r>
            <w:r w:rsidRPr="00933792">
              <w:rPr>
                <w:rFonts w:ascii="Arial" w:hAnsi="Arial" w:cs="Arial"/>
                <w:color w:val="000000" w:themeColor="text1"/>
                <w:sz w:val="22"/>
                <w:szCs w:val="22"/>
              </w:rPr>
              <w:t>Total Pupil Premium funds available to spend</w:t>
            </w:r>
            <w:r w:rsidRPr="00B557CA">
              <w:rPr>
                <w:rFonts w:ascii="Arial" w:hAnsi="Arial" w:cs="Arial"/>
                <w:color w:val="000000" w:themeColor="text1"/>
                <w:sz w:val="22"/>
                <w:szCs w:val="22"/>
              </w:rPr>
              <w:t xml:space="preserve"> was</w:t>
            </w:r>
            <w:r w:rsidRPr="00933792">
              <w:rPr>
                <w:rFonts w:ascii="Arial" w:hAnsi="Arial" w:cs="Arial"/>
                <w:color w:val="000000" w:themeColor="text1"/>
                <w:sz w:val="22"/>
                <w:szCs w:val="22"/>
              </w:rPr>
              <w:t xml:space="preserve"> - £5715</w:t>
            </w:r>
            <w:r w:rsidR="008E7E65" w:rsidRPr="00B557CA">
              <w:rPr>
                <w:rFonts w:ascii="Arial" w:hAnsi="Arial" w:cs="Arial"/>
                <w:color w:val="000000" w:themeColor="text1"/>
                <w:sz w:val="22"/>
                <w:szCs w:val="22"/>
              </w:rPr>
              <w:t>.</w:t>
            </w:r>
          </w:p>
          <w:p w14:paraId="2F76E64F" w14:textId="77777777" w:rsidR="00933792" w:rsidRPr="00933792" w:rsidRDefault="00933792" w:rsidP="00933792">
            <w:pPr>
              <w:suppressAutoHyphens w:val="0"/>
              <w:spacing w:after="0" w:line="240" w:lineRule="auto"/>
              <w:rPr>
                <w:rFonts w:ascii="Arial" w:hAnsi="Arial" w:cs="Arial"/>
                <w:color w:val="000000" w:themeColor="text1"/>
                <w:sz w:val="22"/>
                <w:szCs w:val="22"/>
              </w:rPr>
            </w:pPr>
          </w:p>
          <w:p w14:paraId="7F6E4474" w14:textId="3A2AD346" w:rsidR="00933792" w:rsidRPr="00933792" w:rsidRDefault="00933792" w:rsidP="00933792">
            <w:pPr>
              <w:suppressAutoHyphens w:val="0"/>
              <w:spacing w:after="0" w:line="240" w:lineRule="auto"/>
              <w:rPr>
                <w:rFonts w:ascii="Arial" w:hAnsi="Arial" w:cs="Arial"/>
                <w:color w:val="000000" w:themeColor="text1"/>
                <w:sz w:val="22"/>
                <w:szCs w:val="22"/>
              </w:rPr>
            </w:pPr>
            <w:r w:rsidRPr="00933792">
              <w:rPr>
                <w:rFonts w:ascii="Arial" w:hAnsi="Arial" w:cs="Arial"/>
                <w:color w:val="000000" w:themeColor="text1"/>
                <w:sz w:val="22"/>
                <w:szCs w:val="22"/>
              </w:rPr>
              <w:t>Vouchers used in the Summer Term</w:t>
            </w:r>
            <w:r w:rsidR="008E7E65" w:rsidRPr="00B557CA">
              <w:rPr>
                <w:rFonts w:ascii="Arial" w:hAnsi="Arial" w:cs="Arial"/>
                <w:color w:val="000000" w:themeColor="text1"/>
                <w:sz w:val="22"/>
                <w:szCs w:val="22"/>
              </w:rPr>
              <w:t>:</w:t>
            </w:r>
          </w:p>
          <w:p w14:paraId="2A4036AA" w14:textId="0102FE7E" w:rsidR="00933792" w:rsidRPr="00933792" w:rsidRDefault="00933792" w:rsidP="00933792">
            <w:pPr>
              <w:suppressAutoHyphens w:val="0"/>
              <w:spacing w:after="0" w:line="240" w:lineRule="auto"/>
              <w:rPr>
                <w:rFonts w:ascii="Arial" w:hAnsi="Arial" w:cs="Arial"/>
                <w:color w:val="000000" w:themeColor="text1"/>
                <w:sz w:val="22"/>
                <w:szCs w:val="22"/>
              </w:rPr>
            </w:pPr>
            <w:r w:rsidRPr="00933792">
              <w:rPr>
                <w:rFonts w:ascii="Arial" w:hAnsi="Arial" w:cs="Arial"/>
                <w:color w:val="000000" w:themeColor="text1"/>
                <w:sz w:val="22"/>
                <w:szCs w:val="22"/>
              </w:rPr>
              <w:t>6 children started to use their voucher during the summer term and a further 28 children continued to use the funds from their voucher</w:t>
            </w:r>
            <w:r w:rsidR="008E7E65" w:rsidRPr="00B557CA">
              <w:rPr>
                <w:rFonts w:ascii="Arial" w:hAnsi="Arial" w:cs="Arial"/>
                <w:color w:val="000000" w:themeColor="text1"/>
                <w:sz w:val="22"/>
                <w:szCs w:val="22"/>
              </w:rPr>
              <w:t xml:space="preserve">. </w:t>
            </w:r>
            <w:r w:rsidRPr="00933792">
              <w:rPr>
                <w:rFonts w:ascii="Arial" w:hAnsi="Arial" w:cs="Arial"/>
                <w:color w:val="000000" w:themeColor="text1"/>
                <w:sz w:val="22"/>
                <w:szCs w:val="22"/>
              </w:rPr>
              <w:t xml:space="preserve">A total of £477 </w:t>
            </w:r>
            <w:r w:rsidR="00110F0D" w:rsidRPr="00B557CA">
              <w:rPr>
                <w:rFonts w:ascii="Arial" w:hAnsi="Arial" w:cs="Arial"/>
                <w:color w:val="000000" w:themeColor="text1"/>
                <w:sz w:val="22"/>
                <w:szCs w:val="22"/>
              </w:rPr>
              <w:t>was</w:t>
            </w:r>
            <w:r w:rsidRPr="00933792">
              <w:rPr>
                <w:rFonts w:ascii="Arial" w:hAnsi="Arial" w:cs="Arial"/>
                <w:color w:val="000000" w:themeColor="text1"/>
                <w:sz w:val="22"/>
                <w:szCs w:val="22"/>
              </w:rPr>
              <w:t xml:space="preserve"> allocated over the summer term – 23.38% of total available</w:t>
            </w:r>
            <w:r w:rsidR="008E7E65" w:rsidRPr="00B557CA">
              <w:rPr>
                <w:rFonts w:ascii="Arial" w:hAnsi="Arial" w:cs="Arial"/>
                <w:color w:val="000000" w:themeColor="text1"/>
                <w:sz w:val="22"/>
                <w:szCs w:val="22"/>
              </w:rPr>
              <w:t>.</w:t>
            </w:r>
          </w:p>
          <w:p w14:paraId="2824472A" w14:textId="77777777" w:rsidR="00933792" w:rsidRPr="00933792" w:rsidRDefault="00933792" w:rsidP="00933792">
            <w:pPr>
              <w:suppressAutoHyphens w:val="0"/>
              <w:spacing w:after="0" w:line="240" w:lineRule="auto"/>
              <w:rPr>
                <w:rFonts w:ascii="Arial" w:hAnsi="Arial" w:cs="Arial"/>
                <w:color w:val="000000" w:themeColor="text1"/>
                <w:sz w:val="22"/>
                <w:szCs w:val="22"/>
              </w:rPr>
            </w:pPr>
          </w:p>
          <w:p w14:paraId="12CAEE74" w14:textId="2A5CA473" w:rsidR="00933792" w:rsidRPr="00933792" w:rsidRDefault="00933792" w:rsidP="00933792">
            <w:pPr>
              <w:suppressAutoHyphens w:val="0"/>
              <w:spacing w:after="0" w:line="240" w:lineRule="auto"/>
              <w:rPr>
                <w:rFonts w:ascii="Arial" w:hAnsi="Arial" w:cs="Arial"/>
                <w:color w:val="000000" w:themeColor="text1"/>
                <w:sz w:val="22"/>
                <w:szCs w:val="22"/>
              </w:rPr>
            </w:pPr>
            <w:r w:rsidRPr="00933792">
              <w:rPr>
                <w:rFonts w:ascii="Arial" w:hAnsi="Arial" w:cs="Arial"/>
                <w:color w:val="000000" w:themeColor="text1"/>
                <w:sz w:val="22"/>
                <w:szCs w:val="22"/>
              </w:rPr>
              <w:t>58 children used part or all of their voucher – 85.29% of vouchers ha</w:t>
            </w:r>
            <w:r w:rsidR="008E7E65" w:rsidRPr="00B557CA">
              <w:rPr>
                <w:rFonts w:ascii="Arial" w:hAnsi="Arial" w:cs="Arial"/>
                <w:color w:val="000000" w:themeColor="text1"/>
                <w:sz w:val="22"/>
                <w:szCs w:val="22"/>
              </w:rPr>
              <w:t>d</w:t>
            </w:r>
            <w:r w:rsidRPr="00933792">
              <w:rPr>
                <w:rFonts w:ascii="Arial" w:hAnsi="Arial" w:cs="Arial"/>
                <w:color w:val="000000" w:themeColor="text1"/>
                <w:sz w:val="22"/>
                <w:szCs w:val="22"/>
              </w:rPr>
              <w:t xml:space="preserve"> been used (only 14 vouchers </w:t>
            </w:r>
            <w:r w:rsidR="003410F5" w:rsidRPr="00B557CA">
              <w:rPr>
                <w:rFonts w:ascii="Arial" w:hAnsi="Arial" w:cs="Arial"/>
                <w:color w:val="000000" w:themeColor="text1"/>
                <w:sz w:val="22"/>
                <w:szCs w:val="22"/>
              </w:rPr>
              <w:t>were</w:t>
            </w:r>
            <w:r w:rsidRPr="00933792">
              <w:rPr>
                <w:rFonts w:ascii="Arial" w:hAnsi="Arial" w:cs="Arial"/>
                <w:color w:val="000000" w:themeColor="text1"/>
                <w:sz w:val="22"/>
                <w:szCs w:val="22"/>
              </w:rPr>
              <w:t xml:space="preserve"> used in full).  </w:t>
            </w:r>
          </w:p>
          <w:p w14:paraId="10076BE9" w14:textId="7E07B538" w:rsidR="00933792" w:rsidRPr="00B557CA" w:rsidRDefault="00933792" w:rsidP="00933792">
            <w:pPr>
              <w:suppressAutoHyphens w:val="0"/>
              <w:spacing w:after="0" w:line="240" w:lineRule="auto"/>
              <w:rPr>
                <w:rFonts w:ascii="Arial" w:hAnsi="Arial" w:cs="Arial"/>
                <w:color w:val="000000" w:themeColor="text1"/>
                <w:sz w:val="22"/>
                <w:szCs w:val="22"/>
              </w:rPr>
            </w:pPr>
            <w:r w:rsidRPr="00933792">
              <w:rPr>
                <w:rFonts w:ascii="Arial" w:hAnsi="Arial" w:cs="Arial"/>
                <w:color w:val="000000" w:themeColor="text1"/>
                <w:sz w:val="22"/>
                <w:szCs w:val="22"/>
              </w:rPr>
              <w:t>A total of £1284.59</w:t>
            </w:r>
            <w:r w:rsidR="003410F5" w:rsidRPr="00B557CA">
              <w:rPr>
                <w:rFonts w:ascii="Arial" w:hAnsi="Arial" w:cs="Arial"/>
                <w:color w:val="000000" w:themeColor="text1"/>
                <w:sz w:val="22"/>
                <w:szCs w:val="22"/>
              </w:rPr>
              <w:t xml:space="preserve"> was u</w:t>
            </w:r>
            <w:r w:rsidRPr="00933792">
              <w:rPr>
                <w:rFonts w:ascii="Arial" w:hAnsi="Arial" w:cs="Arial"/>
                <w:color w:val="000000" w:themeColor="text1"/>
                <w:sz w:val="22"/>
                <w:szCs w:val="22"/>
              </w:rPr>
              <w:t>sed  - 62.97% of voucher value used</w:t>
            </w:r>
            <w:r w:rsidR="003410F5" w:rsidRPr="00B557CA">
              <w:rPr>
                <w:rFonts w:ascii="Arial" w:hAnsi="Arial" w:cs="Arial"/>
                <w:color w:val="000000" w:themeColor="text1"/>
                <w:sz w:val="22"/>
                <w:szCs w:val="22"/>
              </w:rPr>
              <w:t xml:space="preserve">. </w:t>
            </w:r>
            <w:r w:rsidRPr="00933792">
              <w:rPr>
                <w:rFonts w:ascii="Arial" w:hAnsi="Arial" w:cs="Arial"/>
                <w:color w:val="000000" w:themeColor="text1"/>
                <w:sz w:val="22"/>
                <w:szCs w:val="22"/>
              </w:rPr>
              <w:t>14 children</w:t>
            </w:r>
            <w:r w:rsidR="003410F5" w:rsidRPr="00B557CA">
              <w:rPr>
                <w:rFonts w:ascii="Arial" w:hAnsi="Arial" w:cs="Arial"/>
                <w:color w:val="000000" w:themeColor="text1"/>
                <w:sz w:val="22"/>
                <w:szCs w:val="22"/>
              </w:rPr>
              <w:t xml:space="preserve"> </w:t>
            </w:r>
            <w:r w:rsidRPr="00933792">
              <w:rPr>
                <w:rFonts w:ascii="Arial" w:hAnsi="Arial" w:cs="Arial"/>
                <w:color w:val="000000" w:themeColor="text1"/>
                <w:sz w:val="22"/>
                <w:szCs w:val="22"/>
              </w:rPr>
              <w:t>Pupil Premium</w:t>
            </w:r>
            <w:r w:rsidR="003410F5" w:rsidRPr="00B557CA">
              <w:rPr>
                <w:rFonts w:ascii="Arial" w:hAnsi="Arial" w:cs="Arial"/>
                <w:color w:val="000000" w:themeColor="text1"/>
                <w:sz w:val="22"/>
                <w:szCs w:val="22"/>
              </w:rPr>
              <w:t xml:space="preserve"> children were</w:t>
            </w:r>
            <w:r w:rsidRPr="00933792">
              <w:rPr>
                <w:rFonts w:ascii="Arial" w:hAnsi="Arial" w:cs="Arial"/>
                <w:color w:val="000000" w:themeColor="text1"/>
                <w:sz w:val="22"/>
                <w:szCs w:val="22"/>
              </w:rPr>
              <w:t xml:space="preserve"> booked on </w:t>
            </w:r>
            <w:r w:rsidR="003410F5" w:rsidRPr="00B557CA">
              <w:rPr>
                <w:rFonts w:ascii="Arial" w:hAnsi="Arial" w:cs="Arial"/>
                <w:color w:val="000000" w:themeColor="text1"/>
                <w:sz w:val="22"/>
                <w:szCs w:val="22"/>
              </w:rPr>
              <w:t xml:space="preserve">a </w:t>
            </w:r>
            <w:r w:rsidRPr="00933792">
              <w:rPr>
                <w:rFonts w:ascii="Arial" w:hAnsi="Arial" w:cs="Arial"/>
                <w:color w:val="000000" w:themeColor="text1"/>
                <w:sz w:val="22"/>
                <w:szCs w:val="22"/>
              </w:rPr>
              <w:t>residential, all</w:t>
            </w:r>
            <w:r w:rsidR="0079298F" w:rsidRPr="00B557CA">
              <w:rPr>
                <w:rFonts w:ascii="Arial" w:hAnsi="Arial" w:cs="Arial"/>
                <w:color w:val="000000" w:themeColor="text1"/>
                <w:sz w:val="22"/>
                <w:szCs w:val="22"/>
              </w:rPr>
              <w:t xml:space="preserve"> of whom had </w:t>
            </w:r>
            <w:r w:rsidRPr="00933792">
              <w:rPr>
                <w:rFonts w:ascii="Arial" w:hAnsi="Arial" w:cs="Arial"/>
                <w:color w:val="000000" w:themeColor="text1"/>
                <w:sz w:val="22"/>
                <w:szCs w:val="22"/>
              </w:rPr>
              <w:t>additional funding , totalling £1050  - 28.57% of potential</w:t>
            </w:r>
            <w:r w:rsidR="0079298F" w:rsidRPr="00B557CA">
              <w:rPr>
                <w:rFonts w:ascii="Arial" w:hAnsi="Arial" w:cs="Arial"/>
                <w:color w:val="000000" w:themeColor="text1"/>
                <w:sz w:val="22"/>
                <w:szCs w:val="22"/>
              </w:rPr>
              <w:t xml:space="preserve">. </w:t>
            </w:r>
          </w:p>
          <w:p w14:paraId="07C38FA2" w14:textId="77777777" w:rsidR="00933792" w:rsidRPr="00933792" w:rsidRDefault="00933792" w:rsidP="00933792">
            <w:pPr>
              <w:suppressAutoHyphens w:val="0"/>
              <w:spacing w:after="0" w:line="240" w:lineRule="auto"/>
              <w:rPr>
                <w:rFonts w:ascii="Arial" w:hAnsi="Arial" w:cs="Arial"/>
                <w:color w:val="000000" w:themeColor="text1"/>
                <w:sz w:val="22"/>
                <w:szCs w:val="22"/>
              </w:rPr>
            </w:pPr>
          </w:p>
          <w:p w14:paraId="7469DFFD" w14:textId="77777777" w:rsidR="00933792" w:rsidRPr="00B557CA" w:rsidRDefault="00933792" w:rsidP="0079298F">
            <w:pPr>
              <w:pStyle w:val="ListParagraph"/>
              <w:numPr>
                <w:ilvl w:val="0"/>
                <w:numId w:val="19"/>
              </w:numPr>
              <w:suppressAutoHyphens w:val="0"/>
              <w:spacing w:after="0" w:line="240" w:lineRule="auto"/>
              <w:rPr>
                <w:rFonts w:ascii="Arial" w:hAnsi="Arial" w:cs="Arial"/>
                <w:color w:val="000000" w:themeColor="text1"/>
                <w:sz w:val="22"/>
                <w:szCs w:val="22"/>
              </w:rPr>
            </w:pPr>
            <w:r w:rsidRPr="00B557CA">
              <w:rPr>
                <w:rFonts w:ascii="Arial" w:hAnsi="Arial" w:cs="Arial"/>
                <w:color w:val="000000" w:themeColor="text1"/>
                <w:sz w:val="22"/>
                <w:szCs w:val="22"/>
              </w:rPr>
              <w:t>£285 used towards Clubs</w:t>
            </w:r>
          </w:p>
          <w:p w14:paraId="1CC2D836" w14:textId="77777777" w:rsidR="00933792" w:rsidRPr="00B557CA" w:rsidRDefault="00933792" w:rsidP="0079298F">
            <w:pPr>
              <w:pStyle w:val="ListParagraph"/>
              <w:numPr>
                <w:ilvl w:val="0"/>
                <w:numId w:val="19"/>
              </w:numPr>
              <w:suppressAutoHyphens w:val="0"/>
              <w:spacing w:after="0" w:line="240" w:lineRule="auto"/>
              <w:rPr>
                <w:rFonts w:ascii="Arial" w:hAnsi="Arial" w:cs="Arial"/>
                <w:color w:val="000000" w:themeColor="text1"/>
                <w:sz w:val="22"/>
                <w:szCs w:val="22"/>
              </w:rPr>
            </w:pPr>
            <w:r w:rsidRPr="00B557CA">
              <w:rPr>
                <w:rFonts w:ascii="Arial" w:hAnsi="Arial" w:cs="Arial"/>
                <w:color w:val="000000" w:themeColor="text1"/>
                <w:sz w:val="22"/>
                <w:szCs w:val="22"/>
              </w:rPr>
              <w:t>£999.59 used towards Trips</w:t>
            </w:r>
          </w:p>
          <w:p w14:paraId="79ED4749" w14:textId="77777777" w:rsidR="00933792" w:rsidRPr="00B557CA" w:rsidRDefault="00933792" w:rsidP="0079298F">
            <w:pPr>
              <w:pStyle w:val="ListParagraph"/>
              <w:numPr>
                <w:ilvl w:val="0"/>
                <w:numId w:val="19"/>
              </w:numPr>
              <w:suppressAutoHyphens w:val="0"/>
              <w:spacing w:after="0" w:line="240" w:lineRule="auto"/>
              <w:rPr>
                <w:rFonts w:ascii="Arial" w:hAnsi="Arial" w:cs="Arial"/>
                <w:color w:val="000000" w:themeColor="text1"/>
                <w:sz w:val="22"/>
                <w:szCs w:val="22"/>
              </w:rPr>
            </w:pPr>
            <w:r w:rsidRPr="00B557CA">
              <w:rPr>
                <w:rFonts w:ascii="Arial" w:hAnsi="Arial" w:cs="Arial"/>
                <w:color w:val="000000" w:themeColor="text1"/>
                <w:sz w:val="22"/>
                <w:szCs w:val="22"/>
              </w:rPr>
              <w:t>£1050 additional funding used towards residential</w:t>
            </w:r>
          </w:p>
          <w:p w14:paraId="1ED4BA27" w14:textId="77777777" w:rsidR="00933792" w:rsidRPr="00B557CA" w:rsidRDefault="00933792" w:rsidP="0079298F">
            <w:pPr>
              <w:pStyle w:val="ListParagraph"/>
              <w:numPr>
                <w:ilvl w:val="0"/>
                <w:numId w:val="19"/>
              </w:numPr>
              <w:suppressAutoHyphens w:val="0"/>
              <w:spacing w:after="0" w:line="240" w:lineRule="auto"/>
              <w:rPr>
                <w:rFonts w:ascii="Arial" w:hAnsi="Arial" w:cs="Arial"/>
                <w:color w:val="000000" w:themeColor="text1"/>
                <w:sz w:val="22"/>
                <w:szCs w:val="22"/>
              </w:rPr>
            </w:pPr>
            <w:r w:rsidRPr="00B557CA">
              <w:rPr>
                <w:rFonts w:ascii="Arial" w:hAnsi="Arial" w:cs="Arial"/>
                <w:color w:val="000000" w:themeColor="text1"/>
                <w:sz w:val="22"/>
                <w:szCs w:val="22"/>
              </w:rPr>
              <w:t>£2334.59 total Pupil Premium used</w:t>
            </w:r>
          </w:p>
          <w:p w14:paraId="75155F0F" w14:textId="77777777" w:rsidR="00933792" w:rsidRPr="00B557CA" w:rsidRDefault="00933792" w:rsidP="00CC50CF">
            <w:pPr>
              <w:suppressAutoHyphens w:val="0"/>
              <w:spacing w:after="0" w:line="240" w:lineRule="auto"/>
              <w:rPr>
                <w:rFonts w:ascii="Arial" w:hAnsi="Arial" w:cs="Arial"/>
                <w:color w:val="000000" w:themeColor="text1"/>
                <w:sz w:val="22"/>
                <w:szCs w:val="22"/>
              </w:rPr>
            </w:pPr>
          </w:p>
          <w:p w14:paraId="77E0FEB1" w14:textId="1B72B2A8" w:rsidR="00196F8E" w:rsidRPr="00B557CA" w:rsidRDefault="00183DD4" w:rsidP="0079298F">
            <w:pPr>
              <w:tabs>
                <w:tab w:val="left" w:pos="1808"/>
              </w:tabs>
              <w:rPr>
                <w:rFonts w:ascii="Arial" w:hAnsi="Arial" w:cs="Arial"/>
                <w:sz w:val="22"/>
                <w:szCs w:val="22"/>
                <w:lang w:val="en-US"/>
              </w:rPr>
            </w:pPr>
            <w:r w:rsidRPr="00B557CA">
              <w:rPr>
                <w:rFonts w:ascii="Arial" w:hAnsi="Arial" w:cs="Arial"/>
                <w:sz w:val="22"/>
                <w:szCs w:val="22"/>
                <w:lang w:val="en-US"/>
              </w:rPr>
              <w:t xml:space="preserve">Voucher </w:t>
            </w:r>
            <w:r w:rsidR="0079298F" w:rsidRPr="00B557CA">
              <w:rPr>
                <w:rFonts w:ascii="Arial" w:hAnsi="Arial" w:cs="Arial"/>
                <w:sz w:val="22"/>
                <w:szCs w:val="22"/>
                <w:lang w:val="en-US"/>
              </w:rPr>
              <w:t>were</w:t>
            </w:r>
            <w:r w:rsidRPr="00B557CA">
              <w:rPr>
                <w:rFonts w:ascii="Arial" w:hAnsi="Arial" w:cs="Arial"/>
                <w:sz w:val="22"/>
                <w:szCs w:val="22"/>
                <w:lang w:val="en-US"/>
              </w:rPr>
              <w:t xml:space="preserve"> actively monitored and reminders were sent to parents </w:t>
            </w:r>
            <w:r w:rsidR="007D0384" w:rsidRPr="00B557CA">
              <w:rPr>
                <w:rFonts w:ascii="Arial" w:hAnsi="Arial" w:cs="Arial"/>
                <w:sz w:val="22"/>
                <w:szCs w:val="22"/>
                <w:lang w:val="en-US"/>
              </w:rPr>
              <w:t>to encourage</w:t>
            </w:r>
            <w:r w:rsidR="00196F8E" w:rsidRPr="00B557CA">
              <w:rPr>
                <w:rFonts w:ascii="Arial" w:hAnsi="Arial" w:cs="Arial"/>
                <w:sz w:val="22"/>
                <w:szCs w:val="22"/>
                <w:lang w:val="en-US"/>
              </w:rPr>
              <w:t xml:space="preserve"> eligible families </w:t>
            </w:r>
            <w:r w:rsidR="007D0384" w:rsidRPr="00B557CA">
              <w:rPr>
                <w:rFonts w:ascii="Arial" w:hAnsi="Arial" w:cs="Arial"/>
                <w:sz w:val="22"/>
                <w:szCs w:val="22"/>
                <w:lang w:val="en-US"/>
              </w:rPr>
              <w:t>to use them.</w:t>
            </w:r>
            <w:r w:rsidR="0079298F" w:rsidRPr="00B557CA">
              <w:rPr>
                <w:rFonts w:ascii="Arial" w:hAnsi="Arial" w:cs="Arial"/>
                <w:sz w:val="22"/>
                <w:szCs w:val="22"/>
                <w:lang w:val="en-US"/>
              </w:rPr>
              <w:t xml:space="preserve"> However, a significant amount was still not spent therefore we will be considering way</w:t>
            </w:r>
            <w:r w:rsidR="00480D15">
              <w:rPr>
                <w:rFonts w:ascii="Arial" w:hAnsi="Arial" w:cs="Arial"/>
                <w:sz w:val="22"/>
                <w:szCs w:val="22"/>
                <w:lang w:val="en-US"/>
              </w:rPr>
              <w:t>s</w:t>
            </w:r>
            <w:r w:rsidR="0079298F" w:rsidRPr="00B557CA">
              <w:rPr>
                <w:rFonts w:ascii="Arial" w:hAnsi="Arial" w:cs="Arial"/>
                <w:sz w:val="22"/>
                <w:szCs w:val="22"/>
                <w:lang w:val="en-US"/>
              </w:rPr>
              <w:t xml:space="preserve"> in which we can ensure more of our vulnerable families spend the money they are eligible to utilise.</w:t>
            </w:r>
            <w:r w:rsidR="00B4197E" w:rsidRPr="00B557CA">
              <w:rPr>
                <w:rFonts w:ascii="Arial" w:hAnsi="Arial" w:cs="Arial"/>
                <w:sz w:val="22"/>
                <w:szCs w:val="22"/>
                <w:lang w:val="en-US"/>
              </w:rPr>
              <w:t xml:space="preserve"> </w:t>
            </w:r>
          </w:p>
          <w:p w14:paraId="106A48B8" w14:textId="2CDBB8CF" w:rsidR="0079298F" w:rsidRPr="00B557CA" w:rsidRDefault="002912C7" w:rsidP="0079298F">
            <w:pPr>
              <w:tabs>
                <w:tab w:val="left" w:pos="1808"/>
              </w:tabs>
              <w:rPr>
                <w:rFonts w:ascii="Arial" w:hAnsi="Arial" w:cs="Arial"/>
                <w:sz w:val="22"/>
                <w:szCs w:val="22"/>
              </w:rPr>
            </w:pPr>
            <w:r w:rsidRPr="00B557CA">
              <w:rPr>
                <w:rFonts w:ascii="Arial" w:hAnsi="Arial" w:cs="Arial"/>
                <w:sz w:val="22"/>
                <w:szCs w:val="22"/>
              </w:rPr>
              <w:t>£4</w:t>
            </w:r>
            <w:r w:rsidR="00480D15">
              <w:rPr>
                <w:rFonts w:ascii="Arial" w:hAnsi="Arial" w:cs="Arial"/>
                <w:sz w:val="22"/>
                <w:szCs w:val="22"/>
              </w:rPr>
              <w:t>5</w:t>
            </w:r>
            <w:r w:rsidRPr="00B557CA">
              <w:rPr>
                <w:rFonts w:ascii="Arial" w:hAnsi="Arial" w:cs="Arial"/>
                <w:sz w:val="22"/>
                <w:szCs w:val="22"/>
              </w:rPr>
              <w:t>1</w:t>
            </w:r>
            <w:r w:rsidR="00480D15">
              <w:rPr>
                <w:rFonts w:ascii="Arial" w:hAnsi="Arial" w:cs="Arial"/>
                <w:sz w:val="22"/>
                <w:szCs w:val="22"/>
              </w:rPr>
              <w:t>.28</w:t>
            </w:r>
            <w:r w:rsidRPr="00B557CA">
              <w:rPr>
                <w:rFonts w:ascii="Arial" w:hAnsi="Arial" w:cs="Arial"/>
                <w:sz w:val="22"/>
                <w:szCs w:val="22"/>
              </w:rPr>
              <w:t xml:space="preserve"> was spent on providing school dinners for a child with an allergy that Twelve15 was unable to cater for. This ensured the child received a nutritious lunch during the school day.</w:t>
            </w:r>
          </w:p>
          <w:p w14:paraId="2478E641" w14:textId="32CF2E38" w:rsidR="0065596B" w:rsidRPr="00B557CA" w:rsidRDefault="00B557CA" w:rsidP="0079298F">
            <w:pPr>
              <w:tabs>
                <w:tab w:val="left" w:pos="1808"/>
              </w:tabs>
              <w:rPr>
                <w:rFonts w:ascii="Arial" w:hAnsi="Arial" w:cs="Arial"/>
                <w:sz w:val="22"/>
                <w:szCs w:val="22"/>
              </w:rPr>
            </w:pPr>
            <w:r w:rsidRPr="00B557CA">
              <w:rPr>
                <w:rFonts w:ascii="Arial" w:hAnsi="Arial" w:cs="Arial"/>
                <w:sz w:val="22"/>
                <w:szCs w:val="22"/>
              </w:rPr>
              <w:t>Attendance at clubs was monitored closely this year, and it was noted that many PP children did not attend any extracurricular activities. As a result, a new, free lunchtime board game club was introduced to give the</w:t>
            </w:r>
            <w:r w:rsidR="00C84DE2">
              <w:rPr>
                <w:rFonts w:ascii="Arial" w:hAnsi="Arial" w:cs="Arial"/>
                <w:sz w:val="22"/>
                <w:szCs w:val="22"/>
              </w:rPr>
              <w:t xml:space="preserve"> children an</w:t>
            </w:r>
            <w:r w:rsidRPr="00B557CA">
              <w:rPr>
                <w:rFonts w:ascii="Arial" w:hAnsi="Arial" w:cs="Arial"/>
                <w:sz w:val="22"/>
                <w:szCs w:val="22"/>
              </w:rPr>
              <w:t xml:space="preserve"> opportunity to take part.</w:t>
            </w:r>
            <w:r w:rsidR="00C84DE2">
              <w:rPr>
                <w:rFonts w:ascii="Arial" w:hAnsi="Arial" w:cs="Arial"/>
                <w:sz w:val="22"/>
                <w:szCs w:val="22"/>
              </w:rPr>
              <w:t xml:space="preserve"> This helped build social skills including turn taking and </w:t>
            </w:r>
            <w:r w:rsidR="00D12CD9">
              <w:rPr>
                <w:rFonts w:ascii="Arial" w:hAnsi="Arial" w:cs="Arial"/>
                <w:sz w:val="22"/>
                <w:szCs w:val="22"/>
              </w:rPr>
              <w:t>playing different types of board games.</w:t>
            </w:r>
            <w:r w:rsidRPr="00B557CA">
              <w:rPr>
                <w:rFonts w:ascii="Arial" w:hAnsi="Arial" w:cs="Arial"/>
                <w:sz w:val="22"/>
                <w:szCs w:val="22"/>
              </w:rPr>
              <w:t xml:space="preserve"> Further opportunities for PP children to engage in a wider range of extracurricular activities will be explored in the next academic year.</w:t>
            </w:r>
          </w:p>
        </w:tc>
      </w:tr>
      <w:tr w:rsidR="00196F8E" w:rsidRPr="00B557CA" w14:paraId="054A22D0" w14:textId="77777777" w:rsidTr="0065596B">
        <w:trPr>
          <w:trHeight w:val="557"/>
        </w:trPr>
        <w:tc>
          <w:tcPr>
            <w:tcW w:w="4743" w:type="dxa"/>
            <w:shd w:val="clear" w:color="auto" w:fill="00B050"/>
          </w:tcPr>
          <w:p w14:paraId="4A8BEF6B" w14:textId="77777777" w:rsidR="00196F8E" w:rsidRPr="00B557CA" w:rsidRDefault="00196F8E" w:rsidP="00CC50CF">
            <w:pPr>
              <w:spacing w:after="0" w:line="240" w:lineRule="auto"/>
              <w:rPr>
                <w:rFonts w:ascii="Arial" w:hAnsi="Arial" w:cs="Arial"/>
                <w:color w:val="auto"/>
                <w:sz w:val="22"/>
                <w:szCs w:val="22"/>
              </w:rPr>
            </w:pPr>
            <w:r w:rsidRPr="00B557CA">
              <w:rPr>
                <w:rFonts w:ascii="Arial" w:hAnsi="Arial" w:cs="Arial"/>
                <w:color w:val="auto"/>
                <w:sz w:val="22"/>
                <w:szCs w:val="22"/>
              </w:rPr>
              <w:t>Music lessons offered to those who want to take part- individual and Rocksteady.</w:t>
            </w:r>
          </w:p>
          <w:p w14:paraId="756CADEA" w14:textId="77777777" w:rsidR="00196F8E" w:rsidRPr="00B557CA" w:rsidRDefault="00196F8E" w:rsidP="00CC50CF">
            <w:pPr>
              <w:spacing w:after="0" w:line="240" w:lineRule="auto"/>
              <w:rPr>
                <w:rFonts w:ascii="Arial" w:hAnsi="Arial" w:cs="Arial"/>
                <w:color w:val="auto"/>
                <w:sz w:val="22"/>
                <w:szCs w:val="22"/>
              </w:rPr>
            </w:pPr>
          </w:p>
          <w:p w14:paraId="6558E63D" w14:textId="77777777" w:rsidR="00196F8E" w:rsidRPr="00B557CA" w:rsidRDefault="00196F8E" w:rsidP="00CC50CF">
            <w:pPr>
              <w:spacing w:after="0" w:line="240" w:lineRule="auto"/>
              <w:rPr>
                <w:rFonts w:ascii="Arial" w:hAnsi="Arial" w:cs="Arial"/>
                <w:color w:val="auto"/>
                <w:sz w:val="22"/>
                <w:szCs w:val="22"/>
              </w:rPr>
            </w:pPr>
          </w:p>
        </w:tc>
        <w:tc>
          <w:tcPr>
            <w:tcW w:w="5512" w:type="dxa"/>
            <w:shd w:val="clear" w:color="auto" w:fill="00B050"/>
          </w:tcPr>
          <w:p w14:paraId="1E85924C" w14:textId="65E03168" w:rsidR="00196F8E" w:rsidRPr="00B557CA" w:rsidRDefault="00CC1819" w:rsidP="00CC50CF">
            <w:pPr>
              <w:spacing w:after="0" w:line="240" w:lineRule="auto"/>
              <w:rPr>
                <w:rFonts w:ascii="Arial" w:hAnsi="Arial" w:cs="Arial"/>
                <w:color w:val="auto"/>
                <w:sz w:val="22"/>
                <w:szCs w:val="22"/>
              </w:rPr>
            </w:pPr>
            <w:r w:rsidRPr="00B557CA">
              <w:rPr>
                <w:rFonts w:ascii="Arial" w:hAnsi="Arial" w:cs="Arial"/>
                <w:b/>
                <w:bCs/>
                <w:sz w:val="22"/>
                <w:szCs w:val="22"/>
              </w:rPr>
              <w:t xml:space="preserve">Achieved: </w:t>
            </w:r>
            <w:r w:rsidR="002C4D67" w:rsidRPr="00B557CA">
              <w:rPr>
                <w:rFonts w:ascii="Arial" w:hAnsi="Arial" w:cs="Arial"/>
                <w:color w:val="auto"/>
                <w:sz w:val="22"/>
                <w:szCs w:val="22"/>
              </w:rPr>
              <w:t xml:space="preserve">8 children </w:t>
            </w:r>
            <w:r w:rsidR="000C34E6" w:rsidRPr="00B557CA">
              <w:rPr>
                <w:rFonts w:ascii="Arial" w:hAnsi="Arial" w:cs="Arial"/>
                <w:color w:val="auto"/>
                <w:sz w:val="22"/>
                <w:szCs w:val="22"/>
              </w:rPr>
              <w:t>(including one</w:t>
            </w:r>
            <w:r w:rsidR="00196F8E" w:rsidRPr="00B557CA">
              <w:rPr>
                <w:rFonts w:ascii="Arial" w:hAnsi="Arial" w:cs="Arial"/>
                <w:color w:val="auto"/>
                <w:sz w:val="22"/>
                <w:szCs w:val="22"/>
              </w:rPr>
              <w:t xml:space="preserve"> PLAC child</w:t>
            </w:r>
            <w:r w:rsidR="000C34E6" w:rsidRPr="00B557CA">
              <w:rPr>
                <w:rFonts w:ascii="Arial" w:hAnsi="Arial" w:cs="Arial"/>
                <w:color w:val="auto"/>
                <w:sz w:val="22"/>
                <w:szCs w:val="22"/>
              </w:rPr>
              <w:t>) were given school funded places / bursaries to access Rock</w:t>
            </w:r>
            <w:r w:rsidRPr="00B557CA">
              <w:rPr>
                <w:rFonts w:ascii="Arial" w:hAnsi="Arial" w:cs="Arial"/>
                <w:color w:val="auto"/>
                <w:sz w:val="22"/>
                <w:szCs w:val="22"/>
              </w:rPr>
              <w:t>steady</w:t>
            </w:r>
            <w:r w:rsidR="000C34E6" w:rsidRPr="00B557CA">
              <w:rPr>
                <w:rFonts w:ascii="Arial" w:hAnsi="Arial" w:cs="Arial"/>
                <w:color w:val="auto"/>
                <w:sz w:val="22"/>
                <w:szCs w:val="22"/>
              </w:rPr>
              <w:t>. T</w:t>
            </w:r>
            <w:r w:rsidR="00196F8E" w:rsidRPr="00B557CA">
              <w:rPr>
                <w:rFonts w:ascii="Arial" w:hAnsi="Arial" w:cs="Arial"/>
                <w:sz w:val="22"/>
                <w:szCs w:val="22"/>
              </w:rPr>
              <w:t xml:space="preserve">his </w:t>
            </w:r>
            <w:r w:rsidR="000C34E6" w:rsidRPr="00B557CA">
              <w:rPr>
                <w:rFonts w:ascii="Arial" w:hAnsi="Arial" w:cs="Arial"/>
                <w:sz w:val="22"/>
                <w:szCs w:val="22"/>
              </w:rPr>
              <w:t>allowed some of</w:t>
            </w:r>
            <w:r w:rsidR="00196F8E" w:rsidRPr="00B557CA">
              <w:rPr>
                <w:rFonts w:ascii="Arial" w:hAnsi="Arial" w:cs="Arial"/>
                <w:sz w:val="22"/>
                <w:szCs w:val="22"/>
              </w:rPr>
              <w:t xml:space="preserve"> our vulnerable children to build confidence and learn a new instrument.</w:t>
            </w:r>
          </w:p>
        </w:tc>
      </w:tr>
      <w:tr w:rsidR="00196F8E" w:rsidRPr="00B557CA" w14:paraId="737645B1" w14:textId="77777777" w:rsidTr="0065596B">
        <w:tc>
          <w:tcPr>
            <w:tcW w:w="4743" w:type="dxa"/>
            <w:shd w:val="clear" w:color="auto" w:fill="00B050"/>
          </w:tcPr>
          <w:p w14:paraId="082637B1"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sz w:val="22"/>
                <w:szCs w:val="22"/>
              </w:rPr>
              <w:t>Drawing for Talking trained staff deliver interventions to support learners.</w:t>
            </w:r>
          </w:p>
        </w:tc>
        <w:tc>
          <w:tcPr>
            <w:tcW w:w="5512" w:type="dxa"/>
            <w:shd w:val="clear" w:color="auto" w:fill="00B050"/>
          </w:tcPr>
          <w:p w14:paraId="3D3348A2" w14:textId="47EB0EB8" w:rsidR="00196F8E" w:rsidRPr="00B557CA" w:rsidRDefault="0065596B" w:rsidP="00CC50CF">
            <w:pPr>
              <w:spacing w:after="0" w:line="240" w:lineRule="auto"/>
              <w:rPr>
                <w:rFonts w:ascii="Arial" w:hAnsi="Arial" w:cs="Arial"/>
                <w:sz w:val="22"/>
                <w:szCs w:val="22"/>
              </w:rPr>
            </w:pPr>
            <w:r w:rsidRPr="00B557CA">
              <w:rPr>
                <w:rFonts w:ascii="Arial" w:hAnsi="Arial" w:cs="Arial"/>
                <w:b/>
                <w:bCs/>
                <w:sz w:val="22"/>
                <w:szCs w:val="22"/>
              </w:rPr>
              <w:t xml:space="preserve">Achieved and </w:t>
            </w:r>
            <w:r w:rsidR="00196F8E" w:rsidRPr="00B557CA">
              <w:rPr>
                <w:rFonts w:ascii="Arial" w:hAnsi="Arial" w:cs="Arial"/>
                <w:b/>
                <w:bCs/>
                <w:sz w:val="22"/>
                <w:szCs w:val="22"/>
              </w:rPr>
              <w:t>Ongoing:</w:t>
            </w:r>
            <w:r w:rsidR="00196F8E" w:rsidRPr="00B557CA">
              <w:rPr>
                <w:rFonts w:ascii="Arial" w:hAnsi="Arial" w:cs="Arial"/>
                <w:sz w:val="22"/>
                <w:szCs w:val="22"/>
              </w:rPr>
              <w:t xml:space="preserve"> </w:t>
            </w:r>
            <w:r w:rsidR="00D12CD9">
              <w:rPr>
                <w:rFonts w:ascii="Arial" w:hAnsi="Arial" w:cs="Arial"/>
                <w:sz w:val="22"/>
                <w:szCs w:val="22"/>
              </w:rPr>
              <w:t>4</w:t>
            </w:r>
            <w:r w:rsidR="00196F8E" w:rsidRPr="00B557CA">
              <w:rPr>
                <w:rFonts w:ascii="Arial" w:hAnsi="Arial" w:cs="Arial"/>
                <w:sz w:val="22"/>
                <w:szCs w:val="22"/>
              </w:rPr>
              <w:t xml:space="preserve"> children access</w:t>
            </w:r>
            <w:r w:rsidR="00A768A3" w:rsidRPr="00B557CA">
              <w:rPr>
                <w:rFonts w:ascii="Arial" w:hAnsi="Arial" w:cs="Arial"/>
                <w:sz w:val="22"/>
                <w:szCs w:val="22"/>
              </w:rPr>
              <w:t>ed</w:t>
            </w:r>
            <w:r w:rsidR="00196F8E" w:rsidRPr="00B557CA">
              <w:rPr>
                <w:rFonts w:ascii="Arial" w:hAnsi="Arial" w:cs="Arial"/>
                <w:sz w:val="22"/>
                <w:szCs w:val="22"/>
              </w:rPr>
              <w:t xml:space="preserve"> this intervention, one of whom is PP. The intervention is designed to provide a safe, short-term therapy to help process trauma and emotional difficulties, particularly benefiting the PP child.</w:t>
            </w:r>
          </w:p>
        </w:tc>
      </w:tr>
      <w:tr w:rsidR="00196F8E" w:rsidRPr="00B557CA" w14:paraId="324326B0" w14:textId="77777777" w:rsidTr="00196F8E">
        <w:tc>
          <w:tcPr>
            <w:tcW w:w="4743" w:type="dxa"/>
            <w:shd w:val="clear" w:color="auto" w:fill="00B050"/>
          </w:tcPr>
          <w:p w14:paraId="1B5C8526" w14:textId="77777777" w:rsidR="00196F8E" w:rsidRPr="00B557CA" w:rsidRDefault="00196F8E" w:rsidP="00CC50CF">
            <w:pPr>
              <w:spacing w:after="0" w:line="240" w:lineRule="auto"/>
              <w:rPr>
                <w:rFonts w:ascii="Arial" w:hAnsi="Arial" w:cs="Arial"/>
                <w:sz w:val="22"/>
                <w:szCs w:val="22"/>
              </w:rPr>
            </w:pPr>
            <w:r w:rsidRPr="00B557CA">
              <w:rPr>
                <w:rFonts w:ascii="Arial" w:hAnsi="Arial" w:cs="Arial"/>
                <w:sz w:val="22"/>
                <w:szCs w:val="22"/>
              </w:rPr>
              <w:t xml:space="preserve">Forest school for pupil premium children </w:t>
            </w:r>
          </w:p>
        </w:tc>
        <w:tc>
          <w:tcPr>
            <w:tcW w:w="5512" w:type="dxa"/>
            <w:shd w:val="clear" w:color="auto" w:fill="00B050"/>
          </w:tcPr>
          <w:p w14:paraId="476CC15F" w14:textId="4C4F4ECD" w:rsidR="00196F8E" w:rsidRPr="00B557CA" w:rsidRDefault="00196F8E" w:rsidP="00CC50CF">
            <w:pPr>
              <w:spacing w:after="0" w:line="240" w:lineRule="auto"/>
              <w:rPr>
                <w:rFonts w:ascii="Arial" w:hAnsi="Arial" w:cs="Arial"/>
                <w:b/>
                <w:bCs/>
                <w:sz w:val="22"/>
                <w:szCs w:val="22"/>
              </w:rPr>
            </w:pPr>
            <w:r w:rsidRPr="00B557CA">
              <w:rPr>
                <w:rFonts w:ascii="Arial" w:hAnsi="Arial" w:cs="Arial"/>
                <w:b/>
                <w:bCs/>
                <w:sz w:val="22"/>
                <w:szCs w:val="22"/>
              </w:rPr>
              <w:t xml:space="preserve">Achieved and Ongoing: </w:t>
            </w:r>
            <w:r w:rsidRPr="00B557CA">
              <w:rPr>
                <w:rFonts w:ascii="Arial" w:hAnsi="Arial" w:cs="Arial"/>
                <w:sz w:val="22"/>
                <w:szCs w:val="22"/>
              </w:rPr>
              <w:t xml:space="preserve">Forest School </w:t>
            </w:r>
            <w:r w:rsidR="00CC1819" w:rsidRPr="00B557CA">
              <w:rPr>
                <w:rFonts w:ascii="Arial" w:hAnsi="Arial" w:cs="Arial"/>
                <w:sz w:val="22"/>
                <w:szCs w:val="22"/>
              </w:rPr>
              <w:t xml:space="preserve">had </w:t>
            </w:r>
            <w:r w:rsidRPr="00B557CA">
              <w:rPr>
                <w:rFonts w:ascii="Arial" w:hAnsi="Arial" w:cs="Arial"/>
                <w:sz w:val="22"/>
                <w:szCs w:val="22"/>
              </w:rPr>
              <w:t>a positive impact on pupils' wider experiences and enhanc</w:t>
            </w:r>
            <w:r w:rsidR="00CC1819" w:rsidRPr="00B557CA">
              <w:rPr>
                <w:rFonts w:ascii="Arial" w:hAnsi="Arial" w:cs="Arial"/>
                <w:sz w:val="22"/>
                <w:szCs w:val="22"/>
              </w:rPr>
              <w:t>ed their</w:t>
            </w:r>
            <w:r w:rsidRPr="00B557CA">
              <w:rPr>
                <w:rFonts w:ascii="Arial" w:hAnsi="Arial" w:cs="Arial"/>
                <w:sz w:val="22"/>
                <w:szCs w:val="22"/>
              </w:rPr>
              <w:t xml:space="preserve"> life skills. It promoted positive mental health and resilience for some pupils.</w:t>
            </w:r>
            <w:r w:rsidR="00A768A3" w:rsidRPr="00B557CA">
              <w:rPr>
                <w:rFonts w:ascii="Arial" w:hAnsi="Arial" w:cs="Arial"/>
                <w:sz w:val="22"/>
                <w:szCs w:val="22"/>
              </w:rPr>
              <w:t xml:space="preserve"> Next year, the Forest School Lead will </w:t>
            </w:r>
            <w:r w:rsidR="00236FA6" w:rsidRPr="00B557CA">
              <w:rPr>
                <w:rFonts w:ascii="Arial" w:hAnsi="Arial" w:cs="Arial"/>
                <w:sz w:val="22"/>
                <w:szCs w:val="22"/>
              </w:rPr>
              <w:t>aim to select PP</w:t>
            </w:r>
            <w:r w:rsidR="00A768A3" w:rsidRPr="00B557CA">
              <w:rPr>
                <w:rFonts w:ascii="Arial" w:hAnsi="Arial" w:cs="Arial"/>
                <w:sz w:val="22"/>
                <w:szCs w:val="22"/>
              </w:rPr>
              <w:t xml:space="preserve"> </w:t>
            </w:r>
            <w:r w:rsidR="00236FA6" w:rsidRPr="00B557CA">
              <w:rPr>
                <w:rFonts w:ascii="Arial" w:hAnsi="Arial" w:cs="Arial"/>
                <w:sz w:val="22"/>
                <w:szCs w:val="22"/>
              </w:rPr>
              <w:t xml:space="preserve">who have not completed Forest School to do this first. </w:t>
            </w:r>
            <w:r w:rsidR="00CC1819" w:rsidRPr="00B557CA">
              <w:rPr>
                <w:rFonts w:ascii="Arial" w:hAnsi="Arial" w:cs="Arial"/>
                <w:sz w:val="22"/>
                <w:szCs w:val="22"/>
              </w:rPr>
              <w:t xml:space="preserve"> </w:t>
            </w:r>
          </w:p>
        </w:tc>
      </w:tr>
      <w:tr w:rsidR="00196F8E" w:rsidRPr="00B557CA" w14:paraId="34F26C23" w14:textId="77777777" w:rsidTr="00196F8E">
        <w:tc>
          <w:tcPr>
            <w:tcW w:w="4743" w:type="dxa"/>
            <w:shd w:val="clear" w:color="auto" w:fill="00B050"/>
          </w:tcPr>
          <w:p w14:paraId="55300B39" w14:textId="77777777" w:rsidR="00196F8E" w:rsidRPr="00B557CA" w:rsidRDefault="00196F8E" w:rsidP="00CC50CF">
            <w:pPr>
              <w:pStyle w:val="TableRow"/>
              <w:spacing w:before="0" w:after="0"/>
              <w:rPr>
                <w:rFonts w:ascii="Arial" w:hAnsi="Arial" w:cs="Arial"/>
                <w:sz w:val="22"/>
                <w:szCs w:val="22"/>
              </w:rPr>
            </w:pPr>
            <w:r w:rsidRPr="00B557CA">
              <w:rPr>
                <w:rFonts w:ascii="Arial" w:hAnsi="Arial" w:cs="Arial"/>
                <w:sz w:val="22"/>
                <w:szCs w:val="22"/>
              </w:rPr>
              <w:t>General parental engagement and wellbeing of children and families (uniform, devices, open door).</w:t>
            </w:r>
          </w:p>
          <w:p w14:paraId="2F2B6904"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2F689A17" w14:textId="13F92E7A" w:rsidR="00196F8E" w:rsidRPr="00B557CA" w:rsidRDefault="00196F8E" w:rsidP="00CC50CF">
            <w:pPr>
              <w:spacing w:after="0" w:line="240" w:lineRule="auto"/>
              <w:rPr>
                <w:rFonts w:ascii="Arial" w:hAnsi="Arial" w:cs="Arial"/>
                <w:sz w:val="22"/>
                <w:szCs w:val="22"/>
                <w:lang w:val="en-US"/>
              </w:rPr>
            </w:pPr>
            <w:r w:rsidRPr="00B557CA">
              <w:rPr>
                <w:rFonts w:ascii="Arial" w:hAnsi="Arial" w:cs="Arial"/>
                <w:b/>
                <w:bCs/>
                <w:sz w:val="22"/>
                <w:szCs w:val="22"/>
              </w:rPr>
              <w:t>Achieved and Ongoing</w:t>
            </w:r>
            <w:r w:rsidRPr="00B557CA">
              <w:rPr>
                <w:rFonts w:ascii="Arial" w:hAnsi="Arial" w:cs="Arial"/>
                <w:sz w:val="22"/>
                <w:szCs w:val="22"/>
              </w:rPr>
              <w:t xml:space="preserve">: </w:t>
            </w:r>
            <w:r w:rsidRPr="00B557CA">
              <w:rPr>
                <w:rFonts w:ascii="Arial" w:hAnsi="Arial" w:cs="Arial"/>
                <w:sz w:val="22"/>
                <w:szCs w:val="22"/>
                <w:lang w:val="en-US"/>
              </w:rPr>
              <w:t xml:space="preserve">The HSLW has provided tailored support for vulnerable PP children and their families, which has been well received. </w:t>
            </w:r>
            <w:r w:rsidR="0083298E" w:rsidRPr="00B557CA">
              <w:rPr>
                <w:rFonts w:ascii="Arial" w:hAnsi="Arial" w:cs="Arial"/>
                <w:sz w:val="22"/>
                <w:szCs w:val="22"/>
                <w:lang w:val="en-US"/>
              </w:rPr>
              <w:t>Over the year,</w:t>
            </w:r>
            <w:r w:rsidRPr="00B557CA">
              <w:rPr>
                <w:rFonts w:ascii="Arial" w:hAnsi="Arial" w:cs="Arial"/>
                <w:sz w:val="22"/>
                <w:szCs w:val="22"/>
                <w:lang w:val="en-US"/>
              </w:rPr>
              <w:t xml:space="preserve"> 3</w:t>
            </w:r>
            <w:r w:rsidR="0083298E" w:rsidRPr="00B557CA">
              <w:rPr>
                <w:rFonts w:ascii="Arial" w:hAnsi="Arial" w:cs="Arial"/>
                <w:sz w:val="22"/>
                <w:szCs w:val="22"/>
                <w:lang w:val="en-US"/>
              </w:rPr>
              <w:t>7</w:t>
            </w:r>
            <w:r w:rsidRPr="00B557CA">
              <w:rPr>
                <w:rFonts w:ascii="Arial" w:hAnsi="Arial" w:cs="Arial"/>
                <w:sz w:val="22"/>
                <w:szCs w:val="22"/>
                <w:lang w:val="en-US"/>
              </w:rPr>
              <w:t>% of PP children and their families</w:t>
            </w:r>
            <w:r w:rsidR="0083298E" w:rsidRPr="00B557CA">
              <w:rPr>
                <w:rFonts w:ascii="Arial" w:hAnsi="Arial" w:cs="Arial"/>
                <w:sz w:val="22"/>
                <w:szCs w:val="22"/>
                <w:lang w:val="en-US"/>
              </w:rPr>
              <w:t xml:space="preserve"> </w:t>
            </w:r>
            <w:r w:rsidRPr="00B557CA">
              <w:rPr>
                <w:rFonts w:ascii="Arial" w:hAnsi="Arial" w:cs="Arial"/>
                <w:sz w:val="22"/>
                <w:szCs w:val="22"/>
                <w:lang w:val="en-US"/>
              </w:rPr>
              <w:t>benefited, leading to improved engagement and well-being.</w:t>
            </w:r>
          </w:p>
          <w:p w14:paraId="3FBD79D8" w14:textId="77777777" w:rsidR="00BD6A08" w:rsidRPr="00B557CA" w:rsidRDefault="00196F8E" w:rsidP="00584612">
            <w:pPr>
              <w:numPr>
                <w:ilvl w:val="0"/>
                <w:numId w:val="1"/>
              </w:numPr>
              <w:spacing w:after="0" w:line="240" w:lineRule="auto"/>
              <w:rPr>
                <w:rFonts w:ascii="Arial" w:hAnsi="Arial" w:cs="Arial"/>
                <w:sz w:val="22"/>
                <w:szCs w:val="22"/>
                <w:lang w:val="en-US"/>
              </w:rPr>
            </w:pPr>
            <w:r w:rsidRPr="00B557CA">
              <w:rPr>
                <w:rFonts w:ascii="Arial" w:hAnsi="Arial" w:cs="Arial"/>
                <w:sz w:val="22"/>
                <w:szCs w:val="22"/>
                <w:lang w:val="en-US"/>
              </w:rPr>
              <w:t>Additionally, high-quality books from our library were gifted to all PP children to foster a love of reading</w:t>
            </w:r>
            <w:r w:rsidR="0083298E" w:rsidRPr="00B557CA">
              <w:rPr>
                <w:rFonts w:ascii="Arial" w:hAnsi="Arial" w:cs="Arial"/>
                <w:sz w:val="22"/>
                <w:szCs w:val="22"/>
                <w:lang w:val="en-US"/>
              </w:rPr>
              <w:t xml:space="preserve"> in the autumn term</w:t>
            </w:r>
            <w:r w:rsidRPr="00B557CA">
              <w:rPr>
                <w:rFonts w:ascii="Arial" w:hAnsi="Arial" w:cs="Arial"/>
                <w:sz w:val="22"/>
                <w:szCs w:val="22"/>
                <w:lang w:val="en-US"/>
              </w:rPr>
              <w:t>.</w:t>
            </w:r>
          </w:p>
          <w:p w14:paraId="5AEC43D0" w14:textId="7BA7C83D" w:rsidR="00584612" w:rsidRPr="00B557CA" w:rsidRDefault="008807C6" w:rsidP="00584612">
            <w:pPr>
              <w:numPr>
                <w:ilvl w:val="0"/>
                <w:numId w:val="1"/>
              </w:numPr>
              <w:spacing w:after="0" w:line="240" w:lineRule="auto"/>
              <w:rPr>
                <w:rFonts w:ascii="Arial" w:hAnsi="Arial" w:cs="Arial"/>
                <w:sz w:val="22"/>
                <w:szCs w:val="22"/>
                <w:lang w:val="en-US"/>
              </w:rPr>
            </w:pPr>
            <w:r w:rsidRPr="00B557CA">
              <w:rPr>
                <w:rFonts w:ascii="Arial" w:hAnsi="Arial" w:cs="Arial"/>
                <w:sz w:val="22"/>
                <w:szCs w:val="22"/>
              </w:rPr>
              <w:t>A free lunchtime board game club helped PP children</w:t>
            </w:r>
            <w:r w:rsidR="00251377" w:rsidRPr="00B557CA">
              <w:rPr>
                <w:rFonts w:ascii="Arial" w:hAnsi="Arial" w:cs="Arial"/>
                <w:sz w:val="22"/>
                <w:szCs w:val="22"/>
              </w:rPr>
              <w:t>, who wished to attend, to</w:t>
            </w:r>
            <w:r w:rsidRPr="00B557CA">
              <w:rPr>
                <w:rFonts w:ascii="Arial" w:hAnsi="Arial" w:cs="Arial"/>
                <w:sz w:val="22"/>
                <w:szCs w:val="22"/>
              </w:rPr>
              <w:t xml:space="preserve"> </w:t>
            </w:r>
            <w:r w:rsidR="00251377" w:rsidRPr="00B557CA">
              <w:rPr>
                <w:rFonts w:ascii="Arial" w:hAnsi="Arial" w:cs="Arial"/>
                <w:sz w:val="22"/>
                <w:szCs w:val="22"/>
              </w:rPr>
              <w:t>build</w:t>
            </w:r>
            <w:r w:rsidRPr="00B557CA">
              <w:rPr>
                <w:rFonts w:ascii="Arial" w:hAnsi="Arial" w:cs="Arial"/>
                <w:sz w:val="22"/>
                <w:szCs w:val="22"/>
              </w:rPr>
              <w:t xml:space="preserve"> their social skills, </w:t>
            </w:r>
            <w:r w:rsidR="003547A1" w:rsidRPr="00B557CA">
              <w:rPr>
                <w:rFonts w:ascii="Arial" w:hAnsi="Arial" w:cs="Arial"/>
                <w:sz w:val="22"/>
                <w:szCs w:val="22"/>
              </w:rPr>
              <w:t>build</w:t>
            </w:r>
            <w:r w:rsidRPr="00B557CA">
              <w:rPr>
                <w:rFonts w:ascii="Arial" w:hAnsi="Arial" w:cs="Arial"/>
                <w:sz w:val="22"/>
                <w:szCs w:val="22"/>
              </w:rPr>
              <w:t xml:space="preserve"> friendships, and develop confidence in a fun and supportive environment.</w:t>
            </w:r>
            <w:r w:rsidR="00AB1D62" w:rsidRPr="00B557CA">
              <w:rPr>
                <w:rFonts w:ascii="Arial" w:hAnsi="Arial" w:cs="Arial"/>
                <w:sz w:val="22"/>
                <w:szCs w:val="22"/>
              </w:rPr>
              <w:t xml:space="preserve"> This also gave our PP children</w:t>
            </w:r>
            <w:r w:rsidR="0065596B" w:rsidRPr="00B557CA">
              <w:rPr>
                <w:rFonts w:ascii="Arial" w:hAnsi="Arial" w:cs="Arial"/>
                <w:sz w:val="22"/>
                <w:szCs w:val="22"/>
              </w:rPr>
              <w:t xml:space="preserve">, </w:t>
            </w:r>
            <w:r w:rsidR="00AB1D62" w:rsidRPr="00B557CA">
              <w:rPr>
                <w:rFonts w:ascii="Arial" w:hAnsi="Arial" w:cs="Arial"/>
                <w:sz w:val="22"/>
                <w:szCs w:val="22"/>
              </w:rPr>
              <w:t xml:space="preserve">who do not access any clubs </w:t>
            </w:r>
            <w:r w:rsidR="0065596B" w:rsidRPr="00B557CA">
              <w:rPr>
                <w:rFonts w:ascii="Arial" w:hAnsi="Arial" w:cs="Arial"/>
                <w:sz w:val="22"/>
                <w:szCs w:val="22"/>
              </w:rPr>
              <w:t xml:space="preserve">an opportunity to do an extracurricular activity. </w:t>
            </w:r>
          </w:p>
        </w:tc>
      </w:tr>
      <w:tr w:rsidR="00196F8E" w:rsidRPr="00B557CA" w14:paraId="367C06B7" w14:textId="77777777" w:rsidTr="002B2E59">
        <w:tc>
          <w:tcPr>
            <w:tcW w:w="4743" w:type="dxa"/>
            <w:shd w:val="clear" w:color="auto" w:fill="00B050"/>
          </w:tcPr>
          <w:p w14:paraId="532B51EE" w14:textId="77777777" w:rsidR="00196F8E" w:rsidRPr="00B557CA" w:rsidRDefault="00196F8E" w:rsidP="00CC50CF">
            <w:pPr>
              <w:pStyle w:val="TableRow"/>
              <w:spacing w:before="0" w:after="0"/>
              <w:rPr>
                <w:rFonts w:ascii="Arial" w:hAnsi="Arial" w:cs="Arial"/>
                <w:sz w:val="22"/>
                <w:szCs w:val="22"/>
              </w:rPr>
            </w:pPr>
            <w:r w:rsidRPr="00B557CA">
              <w:rPr>
                <w:rFonts w:ascii="Arial" w:hAnsi="Arial" w:cs="Arial"/>
                <w:sz w:val="22"/>
                <w:szCs w:val="22"/>
              </w:rPr>
              <w:t>Supporting PLAC children in school to achieve the best that they can.</w:t>
            </w:r>
          </w:p>
          <w:p w14:paraId="3FF301C9" w14:textId="77777777" w:rsidR="00196F8E" w:rsidRPr="00B557CA" w:rsidRDefault="00196F8E" w:rsidP="00CC50CF">
            <w:pPr>
              <w:spacing w:after="0" w:line="240" w:lineRule="auto"/>
              <w:rPr>
                <w:rFonts w:ascii="Arial" w:hAnsi="Arial" w:cs="Arial"/>
                <w:sz w:val="22"/>
                <w:szCs w:val="22"/>
              </w:rPr>
            </w:pPr>
          </w:p>
        </w:tc>
        <w:tc>
          <w:tcPr>
            <w:tcW w:w="5512" w:type="dxa"/>
            <w:shd w:val="clear" w:color="auto" w:fill="00B050"/>
          </w:tcPr>
          <w:p w14:paraId="35AFDB47" w14:textId="41DF8B99" w:rsidR="00196F8E" w:rsidRPr="00B557CA" w:rsidRDefault="002B2E59" w:rsidP="00CC50CF">
            <w:pPr>
              <w:spacing w:after="0" w:line="240" w:lineRule="auto"/>
              <w:rPr>
                <w:rFonts w:ascii="Arial" w:hAnsi="Arial" w:cs="Arial"/>
                <w:sz w:val="22"/>
                <w:szCs w:val="22"/>
              </w:rPr>
            </w:pPr>
            <w:r>
              <w:rPr>
                <w:rFonts w:ascii="Arial" w:hAnsi="Arial" w:cs="Arial"/>
                <w:b/>
                <w:bCs/>
                <w:sz w:val="22"/>
                <w:szCs w:val="22"/>
              </w:rPr>
              <w:t xml:space="preserve">Achieved and </w:t>
            </w:r>
            <w:r w:rsidR="00196F8E" w:rsidRPr="00B557CA">
              <w:rPr>
                <w:rFonts w:ascii="Arial" w:hAnsi="Arial" w:cs="Arial"/>
                <w:b/>
                <w:bCs/>
                <w:sz w:val="22"/>
                <w:szCs w:val="22"/>
              </w:rPr>
              <w:t>Ongoing:</w:t>
            </w:r>
            <w:r w:rsidR="00196F8E" w:rsidRPr="00B557CA">
              <w:rPr>
                <w:rFonts w:ascii="Arial" w:hAnsi="Arial" w:cs="Arial"/>
                <w:sz w:val="22"/>
                <w:szCs w:val="22"/>
              </w:rPr>
              <w:t xml:space="preserve"> There </w:t>
            </w:r>
            <w:r w:rsidR="0095422C" w:rsidRPr="00B557CA">
              <w:rPr>
                <w:rFonts w:ascii="Arial" w:hAnsi="Arial" w:cs="Arial"/>
                <w:sz w:val="22"/>
                <w:szCs w:val="22"/>
              </w:rPr>
              <w:t>were</w:t>
            </w:r>
            <w:r w:rsidR="00196F8E" w:rsidRPr="00B557CA">
              <w:rPr>
                <w:rFonts w:ascii="Arial" w:hAnsi="Arial" w:cs="Arial"/>
                <w:sz w:val="22"/>
                <w:szCs w:val="22"/>
              </w:rPr>
              <w:t xml:space="preserve"> two PLAC children. One child receive</w:t>
            </w:r>
            <w:r w:rsidR="0083298E" w:rsidRPr="00B557CA">
              <w:rPr>
                <w:rFonts w:ascii="Arial" w:hAnsi="Arial" w:cs="Arial"/>
                <w:sz w:val="22"/>
                <w:szCs w:val="22"/>
              </w:rPr>
              <w:t xml:space="preserve">d </w:t>
            </w:r>
            <w:r w:rsidR="00196F8E" w:rsidRPr="00B557CA">
              <w:rPr>
                <w:rFonts w:ascii="Arial" w:hAnsi="Arial" w:cs="Arial"/>
                <w:sz w:val="22"/>
                <w:szCs w:val="22"/>
              </w:rPr>
              <w:t>support through a 1:2, 1:3 Teaching Assistant ratio throughout the school day, while the other work</w:t>
            </w:r>
            <w:r w:rsidR="0083298E" w:rsidRPr="00B557CA">
              <w:rPr>
                <w:rFonts w:ascii="Arial" w:hAnsi="Arial" w:cs="Arial"/>
                <w:sz w:val="22"/>
                <w:szCs w:val="22"/>
              </w:rPr>
              <w:t xml:space="preserve">ed </w:t>
            </w:r>
            <w:r w:rsidR="00196F8E" w:rsidRPr="00B557CA">
              <w:rPr>
                <w:rFonts w:ascii="Arial" w:hAnsi="Arial" w:cs="Arial"/>
                <w:sz w:val="22"/>
                <w:szCs w:val="22"/>
              </w:rPr>
              <w:t xml:space="preserve">closely </w:t>
            </w:r>
            <w:r w:rsidR="0075215F" w:rsidRPr="00B557CA">
              <w:rPr>
                <w:rFonts w:ascii="Arial" w:hAnsi="Arial" w:cs="Arial"/>
                <w:sz w:val="22"/>
                <w:szCs w:val="22"/>
              </w:rPr>
              <w:t>with</w:t>
            </w:r>
            <w:r w:rsidR="00196F8E" w:rsidRPr="00B557CA">
              <w:rPr>
                <w:rFonts w:ascii="Arial" w:hAnsi="Arial" w:cs="Arial"/>
                <w:sz w:val="22"/>
                <w:szCs w:val="22"/>
              </w:rPr>
              <w:t>in a small</w:t>
            </w:r>
            <w:r w:rsidR="0075215F" w:rsidRPr="00B557CA">
              <w:rPr>
                <w:rFonts w:ascii="Arial" w:hAnsi="Arial" w:cs="Arial"/>
                <w:sz w:val="22"/>
                <w:szCs w:val="22"/>
              </w:rPr>
              <w:t xml:space="preserve"> adult led</w:t>
            </w:r>
            <w:r w:rsidR="00196F8E" w:rsidRPr="00B557CA">
              <w:rPr>
                <w:rFonts w:ascii="Arial" w:hAnsi="Arial" w:cs="Arial"/>
                <w:sz w:val="22"/>
                <w:szCs w:val="22"/>
              </w:rPr>
              <w:t xml:space="preserve"> group.</w:t>
            </w:r>
            <w:r w:rsidR="0083298E" w:rsidRPr="00B557CA">
              <w:rPr>
                <w:rFonts w:ascii="Arial" w:hAnsi="Arial" w:cs="Arial"/>
                <w:sz w:val="22"/>
                <w:szCs w:val="22"/>
              </w:rPr>
              <w:t xml:space="preserve"> B</w:t>
            </w:r>
            <w:r w:rsidR="00196F8E" w:rsidRPr="00B557CA">
              <w:rPr>
                <w:rFonts w:ascii="Arial" w:hAnsi="Arial" w:cs="Arial"/>
                <w:sz w:val="22"/>
                <w:szCs w:val="22"/>
              </w:rPr>
              <w:t xml:space="preserve">oth children had engagement from outside agencies to discuss their needs with the inclusion team, and one child accessed the Kindness Christmas Voucher through our Home Link Worker. Both children </w:t>
            </w:r>
            <w:r w:rsidR="0083298E" w:rsidRPr="00B557CA">
              <w:rPr>
                <w:rFonts w:ascii="Arial" w:hAnsi="Arial" w:cs="Arial"/>
                <w:sz w:val="22"/>
                <w:szCs w:val="22"/>
              </w:rPr>
              <w:t>were wel</w:t>
            </w:r>
            <w:r w:rsidR="00196F8E" w:rsidRPr="00B557CA">
              <w:rPr>
                <w:rFonts w:ascii="Arial" w:hAnsi="Arial" w:cs="Arial"/>
                <w:sz w:val="22"/>
                <w:szCs w:val="22"/>
              </w:rPr>
              <w:t>l supported and enjoy</w:t>
            </w:r>
            <w:r w:rsidR="0083298E" w:rsidRPr="00B557CA">
              <w:rPr>
                <w:rFonts w:ascii="Arial" w:hAnsi="Arial" w:cs="Arial"/>
                <w:sz w:val="22"/>
                <w:szCs w:val="22"/>
              </w:rPr>
              <w:t xml:space="preserve">ed </w:t>
            </w:r>
            <w:r w:rsidR="00196F8E" w:rsidRPr="00B557CA">
              <w:rPr>
                <w:rFonts w:ascii="Arial" w:hAnsi="Arial" w:cs="Arial"/>
                <w:sz w:val="22"/>
                <w:szCs w:val="22"/>
              </w:rPr>
              <w:t>school. Additional interventions, such as OT, participation in the bottom 20% reading group</w:t>
            </w:r>
            <w:r w:rsidR="0083298E" w:rsidRPr="00B557CA">
              <w:rPr>
                <w:rFonts w:ascii="Arial" w:hAnsi="Arial" w:cs="Arial"/>
                <w:sz w:val="22"/>
                <w:szCs w:val="22"/>
              </w:rPr>
              <w:t>s</w:t>
            </w:r>
            <w:r w:rsidR="00196F8E" w:rsidRPr="00B557CA">
              <w:rPr>
                <w:rFonts w:ascii="Arial" w:hAnsi="Arial" w:cs="Arial"/>
                <w:sz w:val="22"/>
                <w:szCs w:val="22"/>
              </w:rPr>
              <w:t>, and various other support measures such as adapted work and wellbeing support</w:t>
            </w:r>
            <w:r w:rsidR="00E47924" w:rsidRPr="00B557CA">
              <w:rPr>
                <w:rFonts w:ascii="Arial" w:hAnsi="Arial" w:cs="Arial"/>
                <w:sz w:val="22"/>
                <w:szCs w:val="22"/>
              </w:rPr>
              <w:t xml:space="preserve"> </w:t>
            </w:r>
            <w:r w:rsidR="0083298E" w:rsidRPr="00B557CA">
              <w:rPr>
                <w:rFonts w:ascii="Arial" w:hAnsi="Arial" w:cs="Arial"/>
                <w:sz w:val="22"/>
                <w:szCs w:val="22"/>
              </w:rPr>
              <w:t xml:space="preserve">was </w:t>
            </w:r>
            <w:r w:rsidR="00196F8E" w:rsidRPr="00B557CA">
              <w:rPr>
                <w:rFonts w:ascii="Arial" w:hAnsi="Arial" w:cs="Arial"/>
                <w:sz w:val="22"/>
                <w:szCs w:val="22"/>
              </w:rPr>
              <w:t>also beneficia</w:t>
            </w:r>
            <w:r w:rsidR="00162AB1" w:rsidRPr="00B557CA">
              <w:rPr>
                <w:rFonts w:ascii="Arial" w:hAnsi="Arial" w:cs="Arial"/>
                <w:sz w:val="22"/>
                <w:szCs w:val="22"/>
              </w:rPr>
              <w:t xml:space="preserve">l and supported the children to gain confidence and close some gaps within their learning. </w:t>
            </w:r>
            <w:r w:rsidR="00196F8E" w:rsidRPr="00B557CA">
              <w:rPr>
                <w:rFonts w:ascii="Arial" w:hAnsi="Arial" w:cs="Arial"/>
                <w:sz w:val="22"/>
                <w:szCs w:val="22"/>
              </w:rPr>
              <w:t xml:space="preserve">One PLAC child </w:t>
            </w:r>
            <w:r w:rsidR="001E2B3D" w:rsidRPr="00B557CA">
              <w:rPr>
                <w:rFonts w:ascii="Arial" w:hAnsi="Arial" w:cs="Arial"/>
                <w:sz w:val="22"/>
                <w:szCs w:val="22"/>
              </w:rPr>
              <w:t>w</w:t>
            </w:r>
            <w:r w:rsidR="0083298E" w:rsidRPr="00B557CA">
              <w:rPr>
                <w:rFonts w:ascii="Arial" w:hAnsi="Arial" w:cs="Arial"/>
                <w:sz w:val="22"/>
                <w:szCs w:val="22"/>
              </w:rPr>
              <w:t>as given a</w:t>
            </w:r>
            <w:r w:rsidR="00196F8E" w:rsidRPr="00B557CA">
              <w:rPr>
                <w:rFonts w:ascii="Arial" w:hAnsi="Arial" w:cs="Arial"/>
                <w:sz w:val="22"/>
                <w:szCs w:val="22"/>
              </w:rPr>
              <w:t xml:space="preserve"> bursary placement to participate in Rock Steady which greatly support</w:t>
            </w:r>
            <w:r w:rsidR="0083298E" w:rsidRPr="00B557CA">
              <w:rPr>
                <w:rFonts w:ascii="Arial" w:hAnsi="Arial" w:cs="Arial"/>
                <w:sz w:val="22"/>
                <w:szCs w:val="22"/>
              </w:rPr>
              <w:t xml:space="preserve">ed </w:t>
            </w:r>
            <w:r w:rsidR="00196F8E" w:rsidRPr="00B557CA">
              <w:rPr>
                <w:rFonts w:ascii="Arial" w:hAnsi="Arial" w:cs="Arial"/>
                <w:sz w:val="22"/>
                <w:szCs w:val="22"/>
              </w:rPr>
              <w:t xml:space="preserve">the child’s confidence and social skills. </w:t>
            </w:r>
          </w:p>
        </w:tc>
      </w:tr>
    </w:tbl>
    <w:p w14:paraId="50D3ED50" w14:textId="77777777" w:rsidR="00196F8E" w:rsidRPr="00B557CA" w:rsidRDefault="00196F8E" w:rsidP="00196F8E">
      <w:pPr>
        <w:tabs>
          <w:tab w:val="left" w:pos="2586"/>
        </w:tabs>
        <w:rPr>
          <w:rFonts w:cs="Arial"/>
          <w:sz w:val="22"/>
          <w:szCs w:val="22"/>
        </w:rPr>
      </w:pPr>
    </w:p>
    <w:p w14:paraId="45874AD0" w14:textId="6758A297" w:rsidR="00200876" w:rsidRPr="00B557CA" w:rsidRDefault="00200876" w:rsidP="00196F8E">
      <w:pPr>
        <w:tabs>
          <w:tab w:val="left" w:pos="2586"/>
        </w:tabs>
        <w:rPr>
          <w:rFonts w:cs="Arial"/>
          <w:b/>
          <w:bCs/>
          <w:sz w:val="22"/>
          <w:szCs w:val="22"/>
          <w:u w:val="single"/>
        </w:rPr>
      </w:pPr>
      <w:r w:rsidRPr="00B557CA">
        <w:rPr>
          <w:rFonts w:cs="Arial"/>
          <w:b/>
          <w:bCs/>
          <w:sz w:val="22"/>
          <w:szCs w:val="22"/>
          <w:u w:val="single"/>
        </w:rPr>
        <w:t>Summer 2025 Attainment Results</w:t>
      </w:r>
    </w:p>
    <w:p w14:paraId="1F646920" w14:textId="7E7093EC" w:rsidR="008F1EA7" w:rsidRPr="00B557CA" w:rsidRDefault="008F1EA7" w:rsidP="00196F8E">
      <w:pPr>
        <w:tabs>
          <w:tab w:val="left" w:pos="2586"/>
        </w:tabs>
        <w:rPr>
          <w:rFonts w:cs="Arial"/>
          <w:b/>
          <w:bCs/>
          <w:sz w:val="22"/>
          <w:szCs w:val="22"/>
          <w:u w:val="single"/>
        </w:rPr>
      </w:pPr>
      <w:r w:rsidRPr="00C51CA9">
        <w:rPr>
          <w:rFonts w:cs="Arial"/>
          <w:b/>
          <w:bCs/>
          <w:noProof/>
          <w:sz w:val="22"/>
          <w:szCs w:val="22"/>
        </w:rPr>
        <w:drawing>
          <wp:inline distT="0" distB="0" distL="0" distR="0" wp14:anchorId="35C137A4" wp14:editId="185806DC">
            <wp:extent cx="2914650" cy="2468939"/>
            <wp:effectExtent l="0" t="0" r="0" b="7620"/>
            <wp:docPr id="272178821"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78821" name="Picture 1" descr="A table with numbers and text&#10;&#10;AI-generated content may be incorrect."/>
                    <pic:cNvPicPr/>
                  </pic:nvPicPr>
                  <pic:blipFill>
                    <a:blip r:embed="rId11"/>
                    <a:stretch>
                      <a:fillRect/>
                    </a:stretch>
                  </pic:blipFill>
                  <pic:spPr>
                    <a:xfrm>
                      <a:off x="0" y="0"/>
                      <a:ext cx="2921137" cy="2474434"/>
                    </a:xfrm>
                    <a:prstGeom prst="rect">
                      <a:avLst/>
                    </a:prstGeom>
                  </pic:spPr>
                </pic:pic>
              </a:graphicData>
            </a:graphic>
          </wp:inline>
        </w:drawing>
      </w:r>
      <w:r w:rsidR="00C51CA9" w:rsidRPr="00C51CA9">
        <w:rPr>
          <w:rFonts w:cs="Arial"/>
          <w:b/>
          <w:bCs/>
          <w:sz w:val="22"/>
          <w:szCs w:val="22"/>
        </w:rPr>
        <w:t xml:space="preserve">    </w:t>
      </w:r>
      <w:r w:rsidR="00C51CA9" w:rsidRPr="00C51CA9">
        <w:rPr>
          <w:rFonts w:cs="Arial"/>
          <w:b/>
          <w:bCs/>
          <w:sz w:val="22"/>
          <w:szCs w:val="22"/>
        </w:rPr>
        <w:drawing>
          <wp:inline distT="0" distB="0" distL="0" distR="0" wp14:anchorId="78942BA0" wp14:editId="32DD4327">
            <wp:extent cx="2910007" cy="2482850"/>
            <wp:effectExtent l="0" t="0" r="5080" b="0"/>
            <wp:docPr id="143275628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56282" name="Picture 1" descr="A table with numbers and text&#10;&#10;AI-generated content may be incorrect."/>
                    <pic:cNvPicPr/>
                  </pic:nvPicPr>
                  <pic:blipFill>
                    <a:blip r:embed="rId12"/>
                    <a:stretch>
                      <a:fillRect/>
                    </a:stretch>
                  </pic:blipFill>
                  <pic:spPr>
                    <a:xfrm>
                      <a:off x="0" y="0"/>
                      <a:ext cx="2913410" cy="2485753"/>
                    </a:xfrm>
                    <a:prstGeom prst="rect">
                      <a:avLst/>
                    </a:prstGeom>
                  </pic:spPr>
                </pic:pic>
              </a:graphicData>
            </a:graphic>
          </wp:inline>
        </w:drawing>
      </w:r>
    </w:p>
    <w:p w14:paraId="2A0F1B96" w14:textId="76B6E572" w:rsidR="00F77C53" w:rsidRPr="00B557CA" w:rsidRDefault="00C51CA9" w:rsidP="00196F8E">
      <w:pPr>
        <w:tabs>
          <w:tab w:val="left" w:pos="2586"/>
        </w:tabs>
        <w:rPr>
          <w:rFonts w:cs="Arial"/>
          <w:b/>
          <w:bCs/>
          <w:sz w:val="22"/>
          <w:szCs w:val="22"/>
          <w:u w:val="single"/>
        </w:rPr>
      </w:pPr>
      <w:r w:rsidRPr="00B557CA">
        <w:rPr>
          <w:rFonts w:cs="Arial"/>
          <w:b/>
          <w:bCs/>
          <w:noProof/>
          <w:sz w:val="22"/>
          <w:szCs w:val="22"/>
          <w:u w:val="single"/>
        </w:rPr>
        <w:drawing>
          <wp:anchor distT="0" distB="0" distL="114300" distR="114300" simplePos="0" relativeHeight="251658240" behindDoc="0" locked="0" layoutInCell="1" allowOverlap="1" wp14:anchorId="29ECFF9B" wp14:editId="673AB04A">
            <wp:simplePos x="0" y="0"/>
            <wp:positionH relativeFrom="margin">
              <wp:align>right</wp:align>
            </wp:positionH>
            <wp:positionV relativeFrom="paragraph">
              <wp:posOffset>6985</wp:posOffset>
            </wp:positionV>
            <wp:extent cx="2832100" cy="2424044"/>
            <wp:effectExtent l="0" t="0" r="6350" b="0"/>
            <wp:wrapSquare wrapText="bothSides"/>
            <wp:docPr id="58455421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54213" name="Picture 1" descr="A table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832100" cy="2424044"/>
                    </a:xfrm>
                    <a:prstGeom prst="rect">
                      <a:avLst/>
                    </a:prstGeom>
                  </pic:spPr>
                </pic:pic>
              </a:graphicData>
            </a:graphic>
            <wp14:sizeRelH relativeFrom="page">
              <wp14:pctWidth>0</wp14:pctWidth>
            </wp14:sizeRelH>
            <wp14:sizeRelV relativeFrom="page">
              <wp14:pctHeight>0</wp14:pctHeight>
            </wp14:sizeRelV>
          </wp:anchor>
        </w:drawing>
      </w:r>
      <w:r w:rsidR="00E36523" w:rsidRPr="00B557CA">
        <w:rPr>
          <w:rFonts w:cs="Arial"/>
          <w:b/>
          <w:bCs/>
          <w:noProof/>
          <w:sz w:val="22"/>
          <w:szCs w:val="22"/>
          <w:u w:val="single"/>
        </w:rPr>
        <w:drawing>
          <wp:inline distT="0" distB="0" distL="0" distR="0" wp14:anchorId="6021F16B" wp14:editId="578500C7">
            <wp:extent cx="2803980" cy="2368550"/>
            <wp:effectExtent l="0" t="0" r="0" b="0"/>
            <wp:docPr id="40577115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71152" name="Picture 1" descr="A table with numbers and text&#10;&#10;AI-generated content may be incorrect."/>
                    <pic:cNvPicPr/>
                  </pic:nvPicPr>
                  <pic:blipFill>
                    <a:blip r:embed="rId14"/>
                    <a:stretch>
                      <a:fillRect/>
                    </a:stretch>
                  </pic:blipFill>
                  <pic:spPr>
                    <a:xfrm>
                      <a:off x="0" y="0"/>
                      <a:ext cx="2809395" cy="2373124"/>
                    </a:xfrm>
                    <a:prstGeom prst="rect">
                      <a:avLst/>
                    </a:prstGeom>
                  </pic:spPr>
                </pic:pic>
              </a:graphicData>
            </a:graphic>
          </wp:inline>
        </w:drawing>
      </w:r>
    </w:p>
    <w:p w14:paraId="3D2BBBDC" w14:textId="398C719F" w:rsidR="00C51CA9" w:rsidRPr="00C51CA9" w:rsidRDefault="005E0AC0" w:rsidP="00C51CA9">
      <w:pPr>
        <w:tabs>
          <w:tab w:val="left" w:pos="2586"/>
        </w:tabs>
        <w:jc w:val="center"/>
        <w:rPr>
          <w:rFonts w:cs="Arial"/>
          <w:b/>
          <w:bCs/>
          <w:noProof/>
          <w:sz w:val="22"/>
          <w:szCs w:val="22"/>
          <w:u w:val="single"/>
        </w:rPr>
      </w:pPr>
      <w:r w:rsidRPr="00B557CA">
        <w:rPr>
          <w:rFonts w:cs="Arial"/>
          <w:b/>
          <w:bCs/>
          <w:noProof/>
          <w:sz w:val="22"/>
          <w:szCs w:val="22"/>
          <w:u w:val="single"/>
        </w:rPr>
        <w:drawing>
          <wp:inline distT="0" distB="0" distL="0" distR="0" wp14:anchorId="208015AD" wp14:editId="76FAD065">
            <wp:extent cx="3733992" cy="2406774"/>
            <wp:effectExtent l="0" t="0" r="0" b="0"/>
            <wp:docPr id="91368379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83792" name="Picture 1" descr="A table with numbers and text&#10;&#10;AI-generated content may be incorrect."/>
                    <pic:cNvPicPr/>
                  </pic:nvPicPr>
                  <pic:blipFill>
                    <a:blip r:embed="rId15"/>
                    <a:stretch>
                      <a:fillRect/>
                    </a:stretch>
                  </pic:blipFill>
                  <pic:spPr>
                    <a:xfrm>
                      <a:off x="0" y="0"/>
                      <a:ext cx="3733992" cy="2406774"/>
                    </a:xfrm>
                    <a:prstGeom prst="rect">
                      <a:avLst/>
                    </a:prstGeom>
                  </pic:spPr>
                </pic:pic>
              </a:graphicData>
            </a:graphic>
          </wp:inline>
        </w:drawing>
      </w:r>
    </w:p>
    <w:p w14:paraId="63867933" w14:textId="77777777" w:rsidR="00C51CA9" w:rsidRPr="00B557CA" w:rsidRDefault="00C51CA9" w:rsidP="00C51CA9">
      <w:pPr>
        <w:pStyle w:val="Heading1"/>
        <w:spacing w:after="0"/>
        <w:rPr>
          <w:rFonts w:cs="Arial"/>
          <w:sz w:val="22"/>
          <w:szCs w:val="22"/>
        </w:rPr>
      </w:pPr>
      <w:bookmarkStart w:id="14" w:name="_Toc357771640"/>
      <w:bookmarkStart w:id="15" w:name="_Toc346793418"/>
      <w:bookmarkStart w:id="16" w:name="_Toc443397160"/>
      <w:r w:rsidRPr="00B557CA">
        <w:rPr>
          <w:rFonts w:cs="Arial"/>
          <w:sz w:val="22"/>
          <w:szCs w:val="22"/>
        </w:rPr>
        <w:t>Externally provided programmes</w:t>
      </w:r>
    </w:p>
    <w:p w14:paraId="38E4782A" w14:textId="77777777" w:rsidR="00C51CA9" w:rsidRPr="00B557CA" w:rsidRDefault="00C51CA9" w:rsidP="00C51CA9">
      <w:pPr>
        <w:spacing w:after="0" w:line="240" w:lineRule="auto"/>
        <w:rPr>
          <w:rFonts w:cs="Arial"/>
          <w:i/>
          <w:iCs/>
          <w:sz w:val="22"/>
          <w:szCs w:val="22"/>
        </w:rPr>
      </w:pPr>
      <w:r w:rsidRPr="00B557CA">
        <w:rPr>
          <w:rFonts w:cs="Arial"/>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C51CA9" w:rsidRPr="00B557CA" w14:paraId="7CC3F5D8"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E2BD8C" w14:textId="77777777" w:rsidR="00C51CA9" w:rsidRPr="00B557CA" w:rsidRDefault="00C51CA9" w:rsidP="00AA3BAD">
            <w:pPr>
              <w:pStyle w:val="TableHeader"/>
              <w:spacing w:before="0" w:after="0"/>
              <w:jc w:val="left"/>
              <w:rPr>
                <w:rFonts w:cs="Arial"/>
                <w:sz w:val="22"/>
                <w:szCs w:val="22"/>
              </w:rPr>
            </w:pPr>
            <w:r w:rsidRPr="00B557CA">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8E78FB" w14:textId="77777777" w:rsidR="00C51CA9" w:rsidRPr="00B557CA" w:rsidRDefault="00C51CA9" w:rsidP="00AA3BAD">
            <w:pPr>
              <w:pStyle w:val="TableHeader"/>
              <w:spacing w:before="0" w:after="0"/>
              <w:jc w:val="left"/>
              <w:rPr>
                <w:rFonts w:cs="Arial"/>
                <w:sz w:val="22"/>
                <w:szCs w:val="22"/>
              </w:rPr>
            </w:pPr>
            <w:r w:rsidRPr="00B557CA">
              <w:rPr>
                <w:rFonts w:cs="Arial"/>
                <w:sz w:val="22"/>
                <w:szCs w:val="22"/>
              </w:rPr>
              <w:t>Provider</w:t>
            </w:r>
          </w:p>
        </w:tc>
      </w:tr>
      <w:tr w:rsidR="00C51CA9" w:rsidRPr="00B557CA" w14:paraId="478CB254"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B564F" w14:textId="77777777" w:rsidR="00C51CA9" w:rsidRPr="00B557CA" w:rsidRDefault="00C51CA9" w:rsidP="00AA3BAD">
            <w:pPr>
              <w:pStyle w:val="TableRow"/>
              <w:spacing w:before="0" w:after="0"/>
              <w:rPr>
                <w:rFonts w:cs="Arial"/>
                <w:sz w:val="22"/>
                <w:szCs w:val="22"/>
              </w:rPr>
            </w:pPr>
            <w:r w:rsidRPr="00B557CA">
              <w:rPr>
                <w:rFonts w:cs="Arial"/>
                <w:sz w:val="22"/>
                <w:szCs w:val="22"/>
              </w:rPr>
              <w:t>Reading Eggs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CB79" w14:textId="77777777" w:rsidR="00C51CA9" w:rsidRPr="00B557CA" w:rsidRDefault="00C51CA9" w:rsidP="00AA3BAD">
            <w:pPr>
              <w:pStyle w:val="TableRowCentered"/>
              <w:spacing w:before="0" w:after="0"/>
              <w:jc w:val="left"/>
              <w:rPr>
                <w:rFonts w:cs="Arial"/>
                <w:sz w:val="22"/>
                <w:szCs w:val="22"/>
              </w:rPr>
            </w:pPr>
            <w:r w:rsidRPr="00B557CA">
              <w:rPr>
                <w:rFonts w:cs="Arial"/>
                <w:sz w:val="22"/>
                <w:szCs w:val="22"/>
              </w:rPr>
              <w:t>Reading Eggs</w:t>
            </w:r>
          </w:p>
        </w:tc>
      </w:tr>
      <w:tr w:rsidR="00C51CA9" w:rsidRPr="00B557CA" w14:paraId="3F50DAAC"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22464" w14:textId="77777777" w:rsidR="00C51CA9" w:rsidRPr="00B557CA" w:rsidRDefault="00C51CA9" w:rsidP="00AA3BAD">
            <w:pPr>
              <w:pStyle w:val="TableRow"/>
              <w:spacing w:before="0" w:after="0"/>
              <w:rPr>
                <w:rFonts w:cs="Arial"/>
                <w:sz w:val="22"/>
                <w:szCs w:val="22"/>
              </w:rPr>
            </w:pPr>
            <w:r w:rsidRPr="00B557CA">
              <w:rPr>
                <w:rFonts w:cs="Arial"/>
                <w:sz w:val="22"/>
                <w:szCs w:val="22"/>
              </w:rPr>
              <w:t>Book in a Box</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B1567" w14:textId="77777777" w:rsidR="00C51CA9" w:rsidRPr="00B557CA" w:rsidRDefault="00C51CA9" w:rsidP="00AA3BAD">
            <w:pPr>
              <w:pStyle w:val="TableRowCentered"/>
              <w:spacing w:before="0" w:after="0"/>
              <w:jc w:val="left"/>
              <w:rPr>
                <w:rFonts w:cs="Arial"/>
                <w:sz w:val="22"/>
                <w:szCs w:val="22"/>
              </w:rPr>
            </w:pPr>
            <w:r w:rsidRPr="00B557CA">
              <w:rPr>
                <w:rFonts w:cs="Arial"/>
                <w:sz w:val="22"/>
                <w:szCs w:val="22"/>
              </w:rPr>
              <w:t>Book in a Box</w:t>
            </w:r>
          </w:p>
        </w:tc>
      </w:tr>
    </w:tbl>
    <w:p w14:paraId="1BE1D28D" w14:textId="77777777" w:rsidR="00C51CA9" w:rsidRPr="00B557CA" w:rsidRDefault="00C51CA9" w:rsidP="00C51CA9">
      <w:pPr>
        <w:pStyle w:val="Heading2"/>
        <w:spacing w:before="0" w:after="0"/>
        <w:rPr>
          <w:rFonts w:cs="Arial"/>
          <w:sz w:val="22"/>
          <w:szCs w:val="22"/>
        </w:rPr>
      </w:pPr>
    </w:p>
    <w:p w14:paraId="41572B70" w14:textId="77777777" w:rsidR="00C51CA9" w:rsidRPr="00B557CA" w:rsidRDefault="00C51CA9" w:rsidP="00C51CA9">
      <w:pPr>
        <w:pStyle w:val="Heading2"/>
        <w:spacing w:before="0" w:after="0"/>
        <w:rPr>
          <w:rFonts w:cs="Arial"/>
          <w:sz w:val="22"/>
          <w:szCs w:val="22"/>
        </w:rPr>
      </w:pPr>
      <w:r w:rsidRPr="00B557CA">
        <w:rPr>
          <w:rFonts w:cs="Arial"/>
          <w:sz w:val="22"/>
          <w:szCs w:val="22"/>
        </w:rPr>
        <w:t>Service pupil premium funding (optional)</w:t>
      </w:r>
    </w:p>
    <w:p w14:paraId="482A34B7" w14:textId="77777777" w:rsidR="00C51CA9" w:rsidRPr="00B557CA" w:rsidRDefault="00C51CA9" w:rsidP="00C51CA9">
      <w:pPr>
        <w:spacing w:after="0" w:line="240" w:lineRule="auto"/>
        <w:rPr>
          <w:rFonts w:cs="Arial"/>
          <w:i/>
          <w:iCs/>
          <w:sz w:val="22"/>
          <w:szCs w:val="22"/>
        </w:rPr>
      </w:pPr>
      <w:r w:rsidRPr="00B557CA">
        <w:rPr>
          <w:rFonts w:cs="Arial"/>
          <w:i/>
          <w:iCs/>
          <w:sz w:val="22"/>
          <w:szCs w:val="22"/>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C51CA9" w:rsidRPr="00B557CA" w14:paraId="647D6890"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351FD5" w14:textId="77777777" w:rsidR="00C51CA9" w:rsidRPr="00B557CA" w:rsidRDefault="00C51CA9" w:rsidP="00AA3BAD">
            <w:pPr>
              <w:pStyle w:val="TableHeader"/>
              <w:spacing w:before="0" w:after="0"/>
              <w:jc w:val="left"/>
              <w:rPr>
                <w:rFonts w:cs="Arial"/>
                <w:sz w:val="22"/>
                <w:szCs w:val="22"/>
              </w:rPr>
            </w:pPr>
            <w:bookmarkStart w:id="17" w:name="_Hlk80604898"/>
            <w:r w:rsidRPr="00B557CA">
              <w:rPr>
                <w:rFonts w:cs="Arial"/>
                <w:bCs/>
                <w:sz w:val="22"/>
                <w:szCs w:val="22"/>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F12EF92" w14:textId="77777777" w:rsidR="00C51CA9" w:rsidRPr="00B557CA" w:rsidRDefault="00C51CA9" w:rsidP="00AA3BAD">
            <w:pPr>
              <w:pStyle w:val="TableHeader"/>
              <w:spacing w:before="0" w:after="0"/>
              <w:jc w:val="left"/>
              <w:rPr>
                <w:rFonts w:cs="Arial"/>
                <w:sz w:val="22"/>
                <w:szCs w:val="22"/>
              </w:rPr>
            </w:pPr>
            <w:r w:rsidRPr="00B557CA">
              <w:rPr>
                <w:rFonts w:cs="Arial"/>
                <w:bCs/>
                <w:sz w:val="22"/>
                <w:szCs w:val="22"/>
              </w:rPr>
              <w:t xml:space="preserve">Details </w:t>
            </w:r>
          </w:p>
        </w:tc>
      </w:tr>
      <w:tr w:rsidR="00C51CA9" w:rsidRPr="00B557CA" w14:paraId="7577C404"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42D1" w14:textId="77777777" w:rsidR="00C51CA9" w:rsidRPr="00B557CA" w:rsidRDefault="00C51CA9" w:rsidP="00AA3BAD">
            <w:pPr>
              <w:pStyle w:val="TableRow"/>
              <w:spacing w:before="0" w:after="0"/>
              <w:rPr>
                <w:rFonts w:cs="Arial"/>
                <w:sz w:val="22"/>
                <w:szCs w:val="22"/>
              </w:rPr>
            </w:pPr>
            <w:r w:rsidRPr="00B557CA">
              <w:rPr>
                <w:rFonts w:cs="Arial"/>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11FC" w14:textId="77777777" w:rsidR="00C51CA9" w:rsidRPr="00B557CA" w:rsidRDefault="00C51CA9" w:rsidP="00AA3BAD">
            <w:pPr>
              <w:pStyle w:val="TableRowCentered"/>
              <w:spacing w:before="0" w:after="0"/>
              <w:jc w:val="left"/>
              <w:rPr>
                <w:rFonts w:cs="Arial"/>
                <w:sz w:val="22"/>
                <w:szCs w:val="22"/>
              </w:rPr>
            </w:pPr>
            <w:r w:rsidRPr="00B557CA">
              <w:rPr>
                <w:rFonts w:cs="Arial"/>
                <w:sz w:val="22"/>
                <w:szCs w:val="22"/>
              </w:rPr>
              <w:t>N/A</w:t>
            </w:r>
          </w:p>
        </w:tc>
      </w:tr>
      <w:tr w:rsidR="00C51CA9" w:rsidRPr="00B557CA" w14:paraId="12E6C62C" w14:textId="77777777" w:rsidTr="00AA3BA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B4A2" w14:textId="77777777" w:rsidR="00C51CA9" w:rsidRPr="00B557CA" w:rsidRDefault="00C51CA9" w:rsidP="00AA3BAD">
            <w:pPr>
              <w:pStyle w:val="TableRow"/>
              <w:spacing w:before="0" w:after="0"/>
              <w:rPr>
                <w:rFonts w:cs="Arial"/>
                <w:sz w:val="22"/>
                <w:szCs w:val="22"/>
              </w:rPr>
            </w:pPr>
            <w:r w:rsidRPr="00B557CA">
              <w:rPr>
                <w:rFonts w:cs="Arial"/>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62F9" w14:textId="77777777" w:rsidR="00C51CA9" w:rsidRPr="00B557CA" w:rsidRDefault="00C51CA9" w:rsidP="00AA3BAD">
            <w:pPr>
              <w:pStyle w:val="TableRowCentered"/>
              <w:spacing w:before="0" w:after="0"/>
              <w:jc w:val="left"/>
              <w:rPr>
                <w:rFonts w:cs="Arial"/>
                <w:sz w:val="22"/>
                <w:szCs w:val="22"/>
              </w:rPr>
            </w:pPr>
            <w:r w:rsidRPr="00B557CA">
              <w:rPr>
                <w:rFonts w:cs="Arial"/>
                <w:sz w:val="22"/>
                <w:szCs w:val="22"/>
              </w:rPr>
              <w:t>N/A</w:t>
            </w:r>
          </w:p>
        </w:tc>
      </w:tr>
    </w:tbl>
    <w:p w14:paraId="2A7D5564" w14:textId="3E58B24F" w:rsidR="00E66558" w:rsidRDefault="00E66558">
      <w:pPr>
        <w:rPr>
          <w:rFonts w:cs="Arial"/>
          <w:sz w:val="22"/>
          <w:szCs w:val="22"/>
        </w:rPr>
      </w:pPr>
      <w:bookmarkStart w:id="18" w:name="_Hlk18135758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7BD9570" w14:textId="42EC8A8E" w:rsidR="00D726F4" w:rsidRPr="00AB4922" w:rsidRDefault="00D726F4">
      <w:pPr>
        <w:rPr>
          <w:rFonts w:cs="Arial"/>
          <w:sz w:val="22"/>
          <w:szCs w:val="22"/>
        </w:rPr>
      </w:pPr>
    </w:p>
    <w:sectPr w:rsidR="00D726F4" w:rsidRPr="00AB4922">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B9E0" w14:textId="77777777" w:rsidR="00886EF6" w:rsidRDefault="00886EF6">
      <w:pPr>
        <w:spacing w:after="0" w:line="240" w:lineRule="auto"/>
      </w:pPr>
      <w:r>
        <w:separator/>
      </w:r>
    </w:p>
  </w:endnote>
  <w:endnote w:type="continuationSeparator" w:id="0">
    <w:p w14:paraId="18A433AE" w14:textId="77777777" w:rsidR="00886EF6" w:rsidRDefault="00886EF6">
      <w:pPr>
        <w:spacing w:after="0" w:line="240" w:lineRule="auto"/>
      </w:pPr>
      <w:r>
        <w:continuationSeparator/>
      </w:r>
    </w:p>
  </w:endnote>
  <w:endnote w:type="continuationNotice" w:id="1">
    <w:p w14:paraId="5C088A05" w14:textId="77777777" w:rsidR="00886EF6" w:rsidRDefault="00886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3B280C8F" w:rsidR="009474EF" w:rsidRDefault="009D71E8">
    <w:pPr>
      <w:pStyle w:val="Footer"/>
      <w:ind w:firstLine="4513"/>
    </w:pPr>
    <w:r>
      <w:fldChar w:fldCharType="begin"/>
    </w:r>
    <w:r>
      <w:instrText xml:space="preserve"> PAGE </w:instrText>
    </w:r>
    <w:r>
      <w:fldChar w:fldCharType="separate"/>
    </w:r>
    <w:r w:rsidR="00DE328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AC88" w14:textId="77777777" w:rsidR="00886EF6" w:rsidRDefault="00886EF6">
      <w:pPr>
        <w:spacing w:after="0" w:line="240" w:lineRule="auto"/>
      </w:pPr>
      <w:r>
        <w:separator/>
      </w:r>
    </w:p>
  </w:footnote>
  <w:footnote w:type="continuationSeparator" w:id="0">
    <w:p w14:paraId="5137687E" w14:textId="77777777" w:rsidR="00886EF6" w:rsidRDefault="00886EF6">
      <w:pPr>
        <w:spacing w:after="0" w:line="240" w:lineRule="auto"/>
      </w:pPr>
      <w:r>
        <w:continuationSeparator/>
      </w:r>
    </w:p>
  </w:footnote>
  <w:footnote w:type="continuationNotice" w:id="1">
    <w:p w14:paraId="737BC440" w14:textId="77777777" w:rsidR="00886EF6" w:rsidRDefault="00886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4A2D" w14:textId="77777777" w:rsidR="009A3E42" w:rsidRPr="00AB4922" w:rsidRDefault="009A3E42" w:rsidP="009A3E42">
    <w:pPr>
      <w:pStyle w:val="Heading1"/>
      <w:spacing w:after="0"/>
      <w:jc w:val="center"/>
      <w:rPr>
        <w:rFonts w:cs="Arial"/>
      </w:rPr>
    </w:pPr>
    <w:r w:rsidRPr="00AB4922">
      <w:rPr>
        <w:rFonts w:cs="Arial"/>
        <w:noProof/>
      </w:rPr>
      <w:drawing>
        <wp:anchor distT="0" distB="0" distL="114300" distR="114300" simplePos="0" relativeHeight="251659264" behindDoc="0" locked="0" layoutInCell="1" allowOverlap="1" wp14:anchorId="688B88F2" wp14:editId="29D9E98E">
          <wp:simplePos x="0" y="0"/>
          <wp:positionH relativeFrom="margin">
            <wp:posOffset>-424138</wp:posOffset>
          </wp:positionH>
          <wp:positionV relativeFrom="paragraph">
            <wp:posOffset>-315745</wp:posOffset>
          </wp:positionV>
          <wp:extent cx="604758" cy="564776"/>
          <wp:effectExtent l="0" t="0" r="5080" b="6985"/>
          <wp:wrapNone/>
          <wp:docPr id="595754813" name="Picture 1" descr="A logo of 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tree and a book&#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758" cy="5647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922">
      <w:rPr>
        <w:rFonts w:cs="Arial"/>
      </w:rPr>
      <w:t>The Hermitage Junior School</w:t>
    </w:r>
  </w:p>
  <w:p w14:paraId="75697524" w14:textId="77777777" w:rsidR="009A3E42" w:rsidRDefault="009A3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27C"/>
    <w:multiLevelType w:val="hybridMultilevel"/>
    <w:tmpl w:val="691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75B"/>
    <w:multiLevelType w:val="hybridMultilevel"/>
    <w:tmpl w:val="B952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16E50"/>
    <w:multiLevelType w:val="hybridMultilevel"/>
    <w:tmpl w:val="6C92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F06A9B"/>
    <w:multiLevelType w:val="hybridMultilevel"/>
    <w:tmpl w:val="F2FE97AE"/>
    <w:lvl w:ilvl="0" w:tplc="F31E8B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715D3D"/>
    <w:multiLevelType w:val="hybridMultilevel"/>
    <w:tmpl w:val="26EEF096"/>
    <w:lvl w:ilvl="0" w:tplc="A0543AC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3A064826"/>
    <w:multiLevelType w:val="hybridMultilevel"/>
    <w:tmpl w:val="492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AF36852"/>
    <w:multiLevelType w:val="multilevel"/>
    <w:tmpl w:val="AC2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7501433">
    <w:abstractNumId w:val="7"/>
  </w:num>
  <w:num w:numId="2" w16cid:durableId="12342773">
    <w:abstractNumId w:val="5"/>
  </w:num>
  <w:num w:numId="3" w16cid:durableId="1718814139">
    <w:abstractNumId w:val="8"/>
  </w:num>
  <w:num w:numId="4" w16cid:durableId="1906455083">
    <w:abstractNumId w:val="9"/>
  </w:num>
  <w:num w:numId="5" w16cid:durableId="484204457">
    <w:abstractNumId w:val="3"/>
  </w:num>
  <w:num w:numId="6" w16cid:durableId="1722051425">
    <w:abstractNumId w:val="12"/>
  </w:num>
  <w:num w:numId="7" w16cid:durableId="2022514126">
    <w:abstractNumId w:val="15"/>
  </w:num>
  <w:num w:numId="8" w16cid:durableId="729571469">
    <w:abstractNumId w:val="19"/>
  </w:num>
  <w:num w:numId="9" w16cid:durableId="1949122002">
    <w:abstractNumId w:val="17"/>
  </w:num>
  <w:num w:numId="10" w16cid:durableId="1221207606">
    <w:abstractNumId w:val="16"/>
  </w:num>
  <w:num w:numId="11" w16cid:durableId="1987935378">
    <w:abstractNumId w:val="6"/>
  </w:num>
  <w:num w:numId="12" w16cid:durableId="190847812">
    <w:abstractNumId w:val="18"/>
  </w:num>
  <w:num w:numId="13" w16cid:durableId="966934849">
    <w:abstractNumId w:val="14"/>
  </w:num>
  <w:num w:numId="14" w16cid:durableId="1127432850">
    <w:abstractNumId w:val="1"/>
  </w:num>
  <w:num w:numId="15" w16cid:durableId="1058282291">
    <w:abstractNumId w:val="2"/>
  </w:num>
  <w:num w:numId="16" w16cid:durableId="315259316">
    <w:abstractNumId w:val="11"/>
  </w:num>
  <w:num w:numId="17" w16cid:durableId="359480621">
    <w:abstractNumId w:val="10"/>
  </w:num>
  <w:num w:numId="18" w16cid:durableId="1733118244">
    <w:abstractNumId w:val="13"/>
  </w:num>
  <w:num w:numId="19" w16cid:durableId="28068245">
    <w:abstractNumId w:val="0"/>
  </w:num>
  <w:num w:numId="20" w16cid:durableId="1370180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80"/>
    <w:rsid w:val="00003092"/>
    <w:rsid w:val="00006463"/>
    <w:rsid w:val="000116CF"/>
    <w:rsid w:val="00014364"/>
    <w:rsid w:val="00020693"/>
    <w:rsid w:val="0002366D"/>
    <w:rsid w:val="00026049"/>
    <w:rsid w:val="000329FE"/>
    <w:rsid w:val="00032B99"/>
    <w:rsid w:val="000427D2"/>
    <w:rsid w:val="00044739"/>
    <w:rsid w:val="0004574D"/>
    <w:rsid w:val="00062AFA"/>
    <w:rsid w:val="00066B73"/>
    <w:rsid w:val="000671DF"/>
    <w:rsid w:val="000705E9"/>
    <w:rsid w:val="000708A2"/>
    <w:rsid w:val="00072138"/>
    <w:rsid w:val="00072B9A"/>
    <w:rsid w:val="00081E97"/>
    <w:rsid w:val="000A2788"/>
    <w:rsid w:val="000A49F4"/>
    <w:rsid w:val="000B1331"/>
    <w:rsid w:val="000C0221"/>
    <w:rsid w:val="000C34E6"/>
    <w:rsid w:val="000C5A70"/>
    <w:rsid w:val="000D07DF"/>
    <w:rsid w:val="000D4C49"/>
    <w:rsid w:val="000E2C3F"/>
    <w:rsid w:val="000E40F9"/>
    <w:rsid w:val="000E5EA9"/>
    <w:rsid w:val="000F6239"/>
    <w:rsid w:val="000F6272"/>
    <w:rsid w:val="000F656E"/>
    <w:rsid w:val="000F7310"/>
    <w:rsid w:val="001055B2"/>
    <w:rsid w:val="00106B56"/>
    <w:rsid w:val="00110F0D"/>
    <w:rsid w:val="001175B8"/>
    <w:rsid w:val="00120AB1"/>
    <w:rsid w:val="00125D44"/>
    <w:rsid w:val="001277AE"/>
    <w:rsid w:val="00134B58"/>
    <w:rsid w:val="001401A6"/>
    <w:rsid w:val="001454F0"/>
    <w:rsid w:val="00151706"/>
    <w:rsid w:val="00162AB1"/>
    <w:rsid w:val="0016507F"/>
    <w:rsid w:val="00175D76"/>
    <w:rsid w:val="00183DD4"/>
    <w:rsid w:val="001850D0"/>
    <w:rsid w:val="00190CC3"/>
    <w:rsid w:val="00190EE5"/>
    <w:rsid w:val="00194C39"/>
    <w:rsid w:val="001959C7"/>
    <w:rsid w:val="00196F8E"/>
    <w:rsid w:val="001A3C83"/>
    <w:rsid w:val="001C06BF"/>
    <w:rsid w:val="001C2E1F"/>
    <w:rsid w:val="001C4AAC"/>
    <w:rsid w:val="001C5AB8"/>
    <w:rsid w:val="001D1EBA"/>
    <w:rsid w:val="001D2758"/>
    <w:rsid w:val="001E2533"/>
    <w:rsid w:val="001E2B3D"/>
    <w:rsid w:val="001E402A"/>
    <w:rsid w:val="001E6BE8"/>
    <w:rsid w:val="001E6DF7"/>
    <w:rsid w:val="001F0D78"/>
    <w:rsid w:val="001F2A90"/>
    <w:rsid w:val="001F6631"/>
    <w:rsid w:val="00200876"/>
    <w:rsid w:val="00202B1B"/>
    <w:rsid w:val="00203BF8"/>
    <w:rsid w:val="00211A03"/>
    <w:rsid w:val="0022034B"/>
    <w:rsid w:val="00224021"/>
    <w:rsid w:val="00233FE8"/>
    <w:rsid w:val="002343B7"/>
    <w:rsid w:val="00236FA6"/>
    <w:rsid w:val="00251377"/>
    <w:rsid w:val="002537E5"/>
    <w:rsid w:val="002553AC"/>
    <w:rsid w:val="002704EF"/>
    <w:rsid w:val="00276D66"/>
    <w:rsid w:val="00280687"/>
    <w:rsid w:val="002912C7"/>
    <w:rsid w:val="00297B46"/>
    <w:rsid w:val="002A1F50"/>
    <w:rsid w:val="002B2E59"/>
    <w:rsid w:val="002C4D67"/>
    <w:rsid w:val="002C66CC"/>
    <w:rsid w:val="002D0273"/>
    <w:rsid w:val="002D6FBA"/>
    <w:rsid w:val="002D72A1"/>
    <w:rsid w:val="002E210D"/>
    <w:rsid w:val="002E30E1"/>
    <w:rsid w:val="00300651"/>
    <w:rsid w:val="00306570"/>
    <w:rsid w:val="00314FA0"/>
    <w:rsid w:val="00315EBD"/>
    <w:rsid w:val="00316418"/>
    <w:rsid w:val="00317E92"/>
    <w:rsid w:val="00324F08"/>
    <w:rsid w:val="0032547F"/>
    <w:rsid w:val="00330625"/>
    <w:rsid w:val="0033293A"/>
    <w:rsid w:val="0033585B"/>
    <w:rsid w:val="00340C11"/>
    <w:rsid w:val="003410F5"/>
    <w:rsid w:val="00341777"/>
    <w:rsid w:val="00350EA8"/>
    <w:rsid w:val="00353BD1"/>
    <w:rsid w:val="003547A1"/>
    <w:rsid w:val="00363806"/>
    <w:rsid w:val="003664AC"/>
    <w:rsid w:val="00373688"/>
    <w:rsid w:val="00382AAF"/>
    <w:rsid w:val="00393326"/>
    <w:rsid w:val="00396D5F"/>
    <w:rsid w:val="003B1D4F"/>
    <w:rsid w:val="003C0A83"/>
    <w:rsid w:val="003E2989"/>
    <w:rsid w:val="003E6B1D"/>
    <w:rsid w:val="003F17A5"/>
    <w:rsid w:val="003F66AD"/>
    <w:rsid w:val="00400C8B"/>
    <w:rsid w:val="004044AA"/>
    <w:rsid w:val="004178C0"/>
    <w:rsid w:val="00430F5D"/>
    <w:rsid w:val="0044130F"/>
    <w:rsid w:val="00443BB1"/>
    <w:rsid w:val="00447D83"/>
    <w:rsid w:val="00456BFA"/>
    <w:rsid w:val="00477950"/>
    <w:rsid w:val="00480D15"/>
    <w:rsid w:val="00483E24"/>
    <w:rsid w:val="00485722"/>
    <w:rsid w:val="004A0ABA"/>
    <w:rsid w:val="004A5DA4"/>
    <w:rsid w:val="004B41BD"/>
    <w:rsid w:val="004C2700"/>
    <w:rsid w:val="004C6952"/>
    <w:rsid w:val="004D0F51"/>
    <w:rsid w:val="004D45D4"/>
    <w:rsid w:val="004E1533"/>
    <w:rsid w:val="004E3744"/>
    <w:rsid w:val="004E6ADA"/>
    <w:rsid w:val="004E70EE"/>
    <w:rsid w:val="004F03E5"/>
    <w:rsid w:val="004F172D"/>
    <w:rsid w:val="004F20BC"/>
    <w:rsid w:val="004F466B"/>
    <w:rsid w:val="0050067D"/>
    <w:rsid w:val="005009BA"/>
    <w:rsid w:val="00507204"/>
    <w:rsid w:val="00520221"/>
    <w:rsid w:val="00521A58"/>
    <w:rsid w:val="00531108"/>
    <w:rsid w:val="0054095B"/>
    <w:rsid w:val="0054555C"/>
    <w:rsid w:val="00551314"/>
    <w:rsid w:val="00556F81"/>
    <w:rsid w:val="00560063"/>
    <w:rsid w:val="005617D4"/>
    <w:rsid w:val="00583432"/>
    <w:rsid w:val="00584612"/>
    <w:rsid w:val="005858EF"/>
    <w:rsid w:val="0059323E"/>
    <w:rsid w:val="005A3779"/>
    <w:rsid w:val="005C677C"/>
    <w:rsid w:val="005D2EB3"/>
    <w:rsid w:val="005D4A33"/>
    <w:rsid w:val="005E0AC0"/>
    <w:rsid w:val="00603D22"/>
    <w:rsid w:val="00611B9F"/>
    <w:rsid w:val="00616548"/>
    <w:rsid w:val="00635A72"/>
    <w:rsid w:val="006400F7"/>
    <w:rsid w:val="00647531"/>
    <w:rsid w:val="00647838"/>
    <w:rsid w:val="00650C68"/>
    <w:rsid w:val="0065596B"/>
    <w:rsid w:val="00667FE7"/>
    <w:rsid w:val="006703E5"/>
    <w:rsid w:val="00670E84"/>
    <w:rsid w:val="00677CB5"/>
    <w:rsid w:val="00685ECE"/>
    <w:rsid w:val="00686692"/>
    <w:rsid w:val="00687BBF"/>
    <w:rsid w:val="006922FA"/>
    <w:rsid w:val="00694D9B"/>
    <w:rsid w:val="00697C96"/>
    <w:rsid w:val="006A14DF"/>
    <w:rsid w:val="006A19CB"/>
    <w:rsid w:val="006A278F"/>
    <w:rsid w:val="006A314E"/>
    <w:rsid w:val="006A5264"/>
    <w:rsid w:val="006D6B7B"/>
    <w:rsid w:val="006D72B1"/>
    <w:rsid w:val="006E7FB1"/>
    <w:rsid w:val="006F031B"/>
    <w:rsid w:val="006F3FB3"/>
    <w:rsid w:val="006F4AB0"/>
    <w:rsid w:val="007022BE"/>
    <w:rsid w:val="0070617C"/>
    <w:rsid w:val="00722A24"/>
    <w:rsid w:val="00722B30"/>
    <w:rsid w:val="007237BD"/>
    <w:rsid w:val="00723B9B"/>
    <w:rsid w:val="00731476"/>
    <w:rsid w:val="0073309C"/>
    <w:rsid w:val="0073570E"/>
    <w:rsid w:val="00741B9E"/>
    <w:rsid w:val="0075215F"/>
    <w:rsid w:val="00753A3A"/>
    <w:rsid w:val="00753E0C"/>
    <w:rsid w:val="00757416"/>
    <w:rsid w:val="00767F1A"/>
    <w:rsid w:val="0077354A"/>
    <w:rsid w:val="0077551E"/>
    <w:rsid w:val="0078072C"/>
    <w:rsid w:val="00782CDB"/>
    <w:rsid w:val="007868DC"/>
    <w:rsid w:val="0079298F"/>
    <w:rsid w:val="007971E9"/>
    <w:rsid w:val="007B59A3"/>
    <w:rsid w:val="007C2F04"/>
    <w:rsid w:val="007D0384"/>
    <w:rsid w:val="007D2C69"/>
    <w:rsid w:val="007D3AD6"/>
    <w:rsid w:val="007E33B3"/>
    <w:rsid w:val="007E5A02"/>
    <w:rsid w:val="007F07BF"/>
    <w:rsid w:val="007F0C55"/>
    <w:rsid w:val="007F3E64"/>
    <w:rsid w:val="007F56F1"/>
    <w:rsid w:val="00800874"/>
    <w:rsid w:val="00804E9A"/>
    <w:rsid w:val="0080657E"/>
    <w:rsid w:val="00812D95"/>
    <w:rsid w:val="00825FB5"/>
    <w:rsid w:val="0083298E"/>
    <w:rsid w:val="008366D6"/>
    <w:rsid w:val="00837078"/>
    <w:rsid w:val="00840E2C"/>
    <w:rsid w:val="00842DFA"/>
    <w:rsid w:val="00846691"/>
    <w:rsid w:val="0085178A"/>
    <w:rsid w:val="00853A99"/>
    <w:rsid w:val="00853FD7"/>
    <w:rsid w:val="0086379F"/>
    <w:rsid w:val="008642C8"/>
    <w:rsid w:val="00866CED"/>
    <w:rsid w:val="008807C6"/>
    <w:rsid w:val="00886EF6"/>
    <w:rsid w:val="00892B23"/>
    <w:rsid w:val="00895D6B"/>
    <w:rsid w:val="008B4C07"/>
    <w:rsid w:val="008C0CA2"/>
    <w:rsid w:val="008D3844"/>
    <w:rsid w:val="008E02D0"/>
    <w:rsid w:val="008E7E65"/>
    <w:rsid w:val="008F1EA7"/>
    <w:rsid w:val="008F7837"/>
    <w:rsid w:val="0090540A"/>
    <w:rsid w:val="00916C75"/>
    <w:rsid w:val="0092292E"/>
    <w:rsid w:val="0093022A"/>
    <w:rsid w:val="00931918"/>
    <w:rsid w:val="00932A48"/>
    <w:rsid w:val="00933763"/>
    <w:rsid w:val="00933792"/>
    <w:rsid w:val="00934793"/>
    <w:rsid w:val="0094283C"/>
    <w:rsid w:val="009459F5"/>
    <w:rsid w:val="009474EF"/>
    <w:rsid w:val="0095422C"/>
    <w:rsid w:val="009665E0"/>
    <w:rsid w:val="00971048"/>
    <w:rsid w:val="0097281B"/>
    <w:rsid w:val="009731EB"/>
    <w:rsid w:val="009770E3"/>
    <w:rsid w:val="00977535"/>
    <w:rsid w:val="0098247A"/>
    <w:rsid w:val="0099055C"/>
    <w:rsid w:val="009942DF"/>
    <w:rsid w:val="009A3E42"/>
    <w:rsid w:val="009A6C42"/>
    <w:rsid w:val="009C1F75"/>
    <w:rsid w:val="009D71E8"/>
    <w:rsid w:val="009F180F"/>
    <w:rsid w:val="009F3FDC"/>
    <w:rsid w:val="00A06521"/>
    <w:rsid w:val="00A14367"/>
    <w:rsid w:val="00A14EB3"/>
    <w:rsid w:val="00A21CC6"/>
    <w:rsid w:val="00A2545A"/>
    <w:rsid w:val="00A2574D"/>
    <w:rsid w:val="00A310F5"/>
    <w:rsid w:val="00A3261F"/>
    <w:rsid w:val="00A4362B"/>
    <w:rsid w:val="00A50905"/>
    <w:rsid w:val="00A60494"/>
    <w:rsid w:val="00A61D00"/>
    <w:rsid w:val="00A75BEE"/>
    <w:rsid w:val="00A768A3"/>
    <w:rsid w:val="00A76E84"/>
    <w:rsid w:val="00A77CE4"/>
    <w:rsid w:val="00A81A0F"/>
    <w:rsid w:val="00A926F3"/>
    <w:rsid w:val="00AA1390"/>
    <w:rsid w:val="00AA29AF"/>
    <w:rsid w:val="00AB123F"/>
    <w:rsid w:val="00AB1D62"/>
    <w:rsid w:val="00AB4335"/>
    <w:rsid w:val="00AB4922"/>
    <w:rsid w:val="00AB4D02"/>
    <w:rsid w:val="00AC290C"/>
    <w:rsid w:val="00AC4532"/>
    <w:rsid w:val="00AC51A7"/>
    <w:rsid w:val="00AC63C5"/>
    <w:rsid w:val="00AC72E1"/>
    <w:rsid w:val="00AD6BE6"/>
    <w:rsid w:val="00AE0FB7"/>
    <w:rsid w:val="00AE2F94"/>
    <w:rsid w:val="00AE370E"/>
    <w:rsid w:val="00AE5A5B"/>
    <w:rsid w:val="00AF76DA"/>
    <w:rsid w:val="00B0005F"/>
    <w:rsid w:val="00B0390C"/>
    <w:rsid w:val="00B06B6C"/>
    <w:rsid w:val="00B1168F"/>
    <w:rsid w:val="00B232CA"/>
    <w:rsid w:val="00B27F35"/>
    <w:rsid w:val="00B40C46"/>
    <w:rsid w:val="00B4197E"/>
    <w:rsid w:val="00B41A18"/>
    <w:rsid w:val="00B4234C"/>
    <w:rsid w:val="00B557CA"/>
    <w:rsid w:val="00B55B2F"/>
    <w:rsid w:val="00B6381A"/>
    <w:rsid w:val="00B71A3B"/>
    <w:rsid w:val="00B7361F"/>
    <w:rsid w:val="00B75EC7"/>
    <w:rsid w:val="00B8312B"/>
    <w:rsid w:val="00B92A33"/>
    <w:rsid w:val="00BA566B"/>
    <w:rsid w:val="00BA61C7"/>
    <w:rsid w:val="00BB285A"/>
    <w:rsid w:val="00BD6A08"/>
    <w:rsid w:val="00BE5549"/>
    <w:rsid w:val="00C00E25"/>
    <w:rsid w:val="00C0310C"/>
    <w:rsid w:val="00C10146"/>
    <w:rsid w:val="00C138B4"/>
    <w:rsid w:val="00C1566B"/>
    <w:rsid w:val="00C22144"/>
    <w:rsid w:val="00C46082"/>
    <w:rsid w:val="00C461D6"/>
    <w:rsid w:val="00C51CA9"/>
    <w:rsid w:val="00C53B74"/>
    <w:rsid w:val="00C6190C"/>
    <w:rsid w:val="00C73F06"/>
    <w:rsid w:val="00C82BEF"/>
    <w:rsid w:val="00C84DE2"/>
    <w:rsid w:val="00C87152"/>
    <w:rsid w:val="00C8754D"/>
    <w:rsid w:val="00C92573"/>
    <w:rsid w:val="00C94EEF"/>
    <w:rsid w:val="00C95853"/>
    <w:rsid w:val="00C964E7"/>
    <w:rsid w:val="00C967EB"/>
    <w:rsid w:val="00C96EB8"/>
    <w:rsid w:val="00CB018F"/>
    <w:rsid w:val="00CB0AA9"/>
    <w:rsid w:val="00CB0FFB"/>
    <w:rsid w:val="00CB6129"/>
    <w:rsid w:val="00CC1819"/>
    <w:rsid w:val="00CC69CF"/>
    <w:rsid w:val="00CD25EC"/>
    <w:rsid w:val="00CD39FC"/>
    <w:rsid w:val="00CD7076"/>
    <w:rsid w:val="00CE794B"/>
    <w:rsid w:val="00CF1725"/>
    <w:rsid w:val="00CF29C6"/>
    <w:rsid w:val="00D00E23"/>
    <w:rsid w:val="00D01575"/>
    <w:rsid w:val="00D03029"/>
    <w:rsid w:val="00D05665"/>
    <w:rsid w:val="00D0669A"/>
    <w:rsid w:val="00D12CD9"/>
    <w:rsid w:val="00D160F9"/>
    <w:rsid w:val="00D20EAB"/>
    <w:rsid w:val="00D231F6"/>
    <w:rsid w:val="00D26632"/>
    <w:rsid w:val="00D26D42"/>
    <w:rsid w:val="00D33FE5"/>
    <w:rsid w:val="00D37510"/>
    <w:rsid w:val="00D40CCB"/>
    <w:rsid w:val="00D54527"/>
    <w:rsid w:val="00D56974"/>
    <w:rsid w:val="00D60453"/>
    <w:rsid w:val="00D647F5"/>
    <w:rsid w:val="00D6798D"/>
    <w:rsid w:val="00D726F4"/>
    <w:rsid w:val="00D76CBD"/>
    <w:rsid w:val="00D82156"/>
    <w:rsid w:val="00D93716"/>
    <w:rsid w:val="00DA01B2"/>
    <w:rsid w:val="00DC4B23"/>
    <w:rsid w:val="00DC708E"/>
    <w:rsid w:val="00DD2A47"/>
    <w:rsid w:val="00DD7A8E"/>
    <w:rsid w:val="00DE328C"/>
    <w:rsid w:val="00DF69C2"/>
    <w:rsid w:val="00DF78DF"/>
    <w:rsid w:val="00E03E34"/>
    <w:rsid w:val="00E113EC"/>
    <w:rsid w:val="00E1198B"/>
    <w:rsid w:val="00E12C8C"/>
    <w:rsid w:val="00E31572"/>
    <w:rsid w:val="00E36523"/>
    <w:rsid w:val="00E377B7"/>
    <w:rsid w:val="00E42083"/>
    <w:rsid w:val="00E424D8"/>
    <w:rsid w:val="00E47924"/>
    <w:rsid w:val="00E60056"/>
    <w:rsid w:val="00E63094"/>
    <w:rsid w:val="00E63E47"/>
    <w:rsid w:val="00E63EF5"/>
    <w:rsid w:val="00E66558"/>
    <w:rsid w:val="00E709FE"/>
    <w:rsid w:val="00E80700"/>
    <w:rsid w:val="00E82531"/>
    <w:rsid w:val="00E9590F"/>
    <w:rsid w:val="00EA3C6A"/>
    <w:rsid w:val="00EA4809"/>
    <w:rsid w:val="00EB0E22"/>
    <w:rsid w:val="00EB1A55"/>
    <w:rsid w:val="00EB7C30"/>
    <w:rsid w:val="00EC653D"/>
    <w:rsid w:val="00EE1634"/>
    <w:rsid w:val="00EE17BC"/>
    <w:rsid w:val="00EF49CD"/>
    <w:rsid w:val="00EF7609"/>
    <w:rsid w:val="00F14100"/>
    <w:rsid w:val="00F17A87"/>
    <w:rsid w:val="00F26E95"/>
    <w:rsid w:val="00F44855"/>
    <w:rsid w:val="00F52022"/>
    <w:rsid w:val="00F52029"/>
    <w:rsid w:val="00F56A1B"/>
    <w:rsid w:val="00F67F9A"/>
    <w:rsid w:val="00F7062F"/>
    <w:rsid w:val="00F718BF"/>
    <w:rsid w:val="00F74FE6"/>
    <w:rsid w:val="00F772BB"/>
    <w:rsid w:val="00F775FF"/>
    <w:rsid w:val="00F77C53"/>
    <w:rsid w:val="00F876BB"/>
    <w:rsid w:val="00F900C9"/>
    <w:rsid w:val="00F90484"/>
    <w:rsid w:val="00F912FE"/>
    <w:rsid w:val="00F96385"/>
    <w:rsid w:val="00FA635A"/>
    <w:rsid w:val="00FB0482"/>
    <w:rsid w:val="00FB1024"/>
    <w:rsid w:val="00FB26F8"/>
    <w:rsid w:val="00FB57C6"/>
    <w:rsid w:val="00FB5B7A"/>
    <w:rsid w:val="00FC01ED"/>
    <w:rsid w:val="00FC02E8"/>
    <w:rsid w:val="00FC0570"/>
    <w:rsid w:val="00FD524E"/>
    <w:rsid w:val="00FE021D"/>
    <w:rsid w:val="00FE30C9"/>
    <w:rsid w:val="00FF0B35"/>
    <w:rsid w:val="00FF1E07"/>
    <w:rsid w:val="00FF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6A14DF"/>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61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013">
      <w:bodyDiv w:val="1"/>
      <w:marLeft w:val="0"/>
      <w:marRight w:val="0"/>
      <w:marTop w:val="0"/>
      <w:marBottom w:val="0"/>
      <w:divBdr>
        <w:top w:val="none" w:sz="0" w:space="0" w:color="auto"/>
        <w:left w:val="none" w:sz="0" w:space="0" w:color="auto"/>
        <w:bottom w:val="none" w:sz="0" w:space="0" w:color="auto"/>
        <w:right w:val="none" w:sz="0" w:space="0" w:color="auto"/>
      </w:divBdr>
    </w:div>
    <w:div w:id="297338546">
      <w:bodyDiv w:val="1"/>
      <w:marLeft w:val="0"/>
      <w:marRight w:val="0"/>
      <w:marTop w:val="0"/>
      <w:marBottom w:val="0"/>
      <w:divBdr>
        <w:top w:val="none" w:sz="0" w:space="0" w:color="auto"/>
        <w:left w:val="none" w:sz="0" w:space="0" w:color="auto"/>
        <w:bottom w:val="none" w:sz="0" w:space="0" w:color="auto"/>
        <w:right w:val="none" w:sz="0" w:space="0" w:color="auto"/>
      </w:divBdr>
    </w:div>
    <w:div w:id="508712289">
      <w:bodyDiv w:val="1"/>
      <w:marLeft w:val="0"/>
      <w:marRight w:val="0"/>
      <w:marTop w:val="0"/>
      <w:marBottom w:val="0"/>
      <w:divBdr>
        <w:top w:val="none" w:sz="0" w:space="0" w:color="auto"/>
        <w:left w:val="none" w:sz="0" w:space="0" w:color="auto"/>
        <w:bottom w:val="none" w:sz="0" w:space="0" w:color="auto"/>
        <w:right w:val="none" w:sz="0" w:space="0" w:color="auto"/>
      </w:divBdr>
    </w:div>
    <w:div w:id="666321673">
      <w:bodyDiv w:val="1"/>
      <w:marLeft w:val="0"/>
      <w:marRight w:val="0"/>
      <w:marTop w:val="0"/>
      <w:marBottom w:val="0"/>
      <w:divBdr>
        <w:top w:val="none" w:sz="0" w:space="0" w:color="auto"/>
        <w:left w:val="none" w:sz="0" w:space="0" w:color="auto"/>
        <w:bottom w:val="none" w:sz="0" w:space="0" w:color="auto"/>
        <w:right w:val="none" w:sz="0" w:space="0" w:color="auto"/>
      </w:divBdr>
    </w:div>
    <w:div w:id="833566368">
      <w:bodyDiv w:val="1"/>
      <w:marLeft w:val="0"/>
      <w:marRight w:val="0"/>
      <w:marTop w:val="0"/>
      <w:marBottom w:val="0"/>
      <w:divBdr>
        <w:top w:val="none" w:sz="0" w:space="0" w:color="auto"/>
        <w:left w:val="none" w:sz="0" w:space="0" w:color="auto"/>
        <w:bottom w:val="none" w:sz="0" w:space="0" w:color="auto"/>
        <w:right w:val="none" w:sz="0" w:space="0" w:color="auto"/>
      </w:divBdr>
    </w:div>
    <w:div w:id="905914763">
      <w:bodyDiv w:val="1"/>
      <w:marLeft w:val="0"/>
      <w:marRight w:val="0"/>
      <w:marTop w:val="0"/>
      <w:marBottom w:val="0"/>
      <w:divBdr>
        <w:top w:val="none" w:sz="0" w:space="0" w:color="auto"/>
        <w:left w:val="none" w:sz="0" w:space="0" w:color="auto"/>
        <w:bottom w:val="none" w:sz="0" w:space="0" w:color="auto"/>
        <w:right w:val="none" w:sz="0" w:space="0" w:color="auto"/>
      </w:divBdr>
    </w:div>
    <w:div w:id="910970502">
      <w:bodyDiv w:val="1"/>
      <w:marLeft w:val="0"/>
      <w:marRight w:val="0"/>
      <w:marTop w:val="0"/>
      <w:marBottom w:val="0"/>
      <w:divBdr>
        <w:top w:val="none" w:sz="0" w:space="0" w:color="auto"/>
        <w:left w:val="none" w:sz="0" w:space="0" w:color="auto"/>
        <w:bottom w:val="none" w:sz="0" w:space="0" w:color="auto"/>
        <w:right w:val="none" w:sz="0" w:space="0" w:color="auto"/>
      </w:divBdr>
      <w:divsChild>
        <w:div w:id="1532256838">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06742254">
                      <w:marLeft w:val="0"/>
                      <w:marRight w:val="0"/>
                      <w:marTop w:val="0"/>
                      <w:marBottom w:val="0"/>
                      <w:divBdr>
                        <w:top w:val="none" w:sz="0" w:space="0" w:color="auto"/>
                        <w:left w:val="none" w:sz="0" w:space="0" w:color="auto"/>
                        <w:bottom w:val="none" w:sz="0" w:space="0" w:color="auto"/>
                        <w:right w:val="none" w:sz="0" w:space="0" w:color="auto"/>
                      </w:divBdr>
                      <w:divsChild>
                        <w:div w:id="1900824108">
                          <w:marLeft w:val="0"/>
                          <w:marRight w:val="0"/>
                          <w:marTop w:val="0"/>
                          <w:marBottom w:val="0"/>
                          <w:divBdr>
                            <w:top w:val="none" w:sz="0" w:space="0" w:color="auto"/>
                            <w:left w:val="none" w:sz="0" w:space="0" w:color="auto"/>
                            <w:bottom w:val="none" w:sz="0" w:space="0" w:color="auto"/>
                            <w:right w:val="none" w:sz="0" w:space="0" w:color="auto"/>
                          </w:divBdr>
                          <w:divsChild>
                            <w:div w:id="1113861026">
                              <w:marLeft w:val="0"/>
                              <w:marRight w:val="0"/>
                              <w:marTop w:val="0"/>
                              <w:marBottom w:val="0"/>
                              <w:divBdr>
                                <w:top w:val="none" w:sz="0" w:space="0" w:color="auto"/>
                                <w:left w:val="none" w:sz="0" w:space="0" w:color="auto"/>
                                <w:bottom w:val="none" w:sz="0" w:space="0" w:color="auto"/>
                                <w:right w:val="none" w:sz="0" w:space="0" w:color="auto"/>
                              </w:divBdr>
                              <w:divsChild>
                                <w:div w:id="119153765">
                                  <w:marLeft w:val="0"/>
                                  <w:marRight w:val="0"/>
                                  <w:marTop w:val="0"/>
                                  <w:marBottom w:val="0"/>
                                  <w:divBdr>
                                    <w:top w:val="none" w:sz="0" w:space="0" w:color="auto"/>
                                    <w:left w:val="none" w:sz="0" w:space="0" w:color="auto"/>
                                    <w:bottom w:val="none" w:sz="0" w:space="0" w:color="auto"/>
                                    <w:right w:val="none" w:sz="0" w:space="0" w:color="auto"/>
                                  </w:divBdr>
                                  <w:divsChild>
                                    <w:div w:id="877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2485">
          <w:marLeft w:val="0"/>
          <w:marRight w:val="0"/>
          <w:marTop w:val="0"/>
          <w:marBottom w:val="0"/>
          <w:divBdr>
            <w:top w:val="none" w:sz="0" w:space="0" w:color="auto"/>
            <w:left w:val="none" w:sz="0" w:space="0" w:color="auto"/>
            <w:bottom w:val="none" w:sz="0" w:space="0" w:color="auto"/>
            <w:right w:val="none" w:sz="0" w:space="0" w:color="auto"/>
          </w:divBdr>
          <w:divsChild>
            <w:div w:id="451826337">
              <w:marLeft w:val="0"/>
              <w:marRight w:val="0"/>
              <w:marTop w:val="0"/>
              <w:marBottom w:val="0"/>
              <w:divBdr>
                <w:top w:val="none" w:sz="0" w:space="0" w:color="auto"/>
                <w:left w:val="none" w:sz="0" w:space="0" w:color="auto"/>
                <w:bottom w:val="none" w:sz="0" w:space="0" w:color="auto"/>
                <w:right w:val="none" w:sz="0" w:space="0" w:color="auto"/>
              </w:divBdr>
              <w:divsChild>
                <w:div w:id="663554736">
                  <w:marLeft w:val="0"/>
                  <w:marRight w:val="0"/>
                  <w:marTop w:val="0"/>
                  <w:marBottom w:val="0"/>
                  <w:divBdr>
                    <w:top w:val="none" w:sz="0" w:space="0" w:color="auto"/>
                    <w:left w:val="none" w:sz="0" w:space="0" w:color="auto"/>
                    <w:bottom w:val="none" w:sz="0" w:space="0" w:color="auto"/>
                    <w:right w:val="none" w:sz="0" w:space="0" w:color="auto"/>
                  </w:divBdr>
                  <w:divsChild>
                    <w:div w:id="1363750973">
                      <w:marLeft w:val="0"/>
                      <w:marRight w:val="0"/>
                      <w:marTop w:val="0"/>
                      <w:marBottom w:val="0"/>
                      <w:divBdr>
                        <w:top w:val="none" w:sz="0" w:space="0" w:color="auto"/>
                        <w:left w:val="none" w:sz="0" w:space="0" w:color="auto"/>
                        <w:bottom w:val="none" w:sz="0" w:space="0" w:color="auto"/>
                        <w:right w:val="none" w:sz="0" w:space="0" w:color="auto"/>
                      </w:divBdr>
                      <w:divsChild>
                        <w:div w:id="111093745">
                          <w:marLeft w:val="0"/>
                          <w:marRight w:val="0"/>
                          <w:marTop w:val="0"/>
                          <w:marBottom w:val="0"/>
                          <w:divBdr>
                            <w:top w:val="none" w:sz="0" w:space="0" w:color="auto"/>
                            <w:left w:val="none" w:sz="0" w:space="0" w:color="auto"/>
                            <w:bottom w:val="none" w:sz="0" w:space="0" w:color="auto"/>
                            <w:right w:val="none" w:sz="0" w:space="0" w:color="auto"/>
                          </w:divBdr>
                          <w:divsChild>
                            <w:div w:id="1921526847">
                              <w:marLeft w:val="0"/>
                              <w:marRight w:val="0"/>
                              <w:marTop w:val="0"/>
                              <w:marBottom w:val="0"/>
                              <w:divBdr>
                                <w:top w:val="none" w:sz="0" w:space="0" w:color="auto"/>
                                <w:left w:val="none" w:sz="0" w:space="0" w:color="auto"/>
                                <w:bottom w:val="none" w:sz="0" w:space="0" w:color="auto"/>
                                <w:right w:val="none" w:sz="0" w:space="0" w:color="auto"/>
                              </w:divBdr>
                              <w:divsChild>
                                <w:div w:id="677275628">
                                  <w:marLeft w:val="0"/>
                                  <w:marRight w:val="0"/>
                                  <w:marTop w:val="0"/>
                                  <w:marBottom w:val="0"/>
                                  <w:divBdr>
                                    <w:top w:val="none" w:sz="0" w:space="0" w:color="auto"/>
                                    <w:left w:val="none" w:sz="0" w:space="0" w:color="auto"/>
                                    <w:bottom w:val="none" w:sz="0" w:space="0" w:color="auto"/>
                                    <w:right w:val="none" w:sz="0" w:space="0" w:color="auto"/>
                                  </w:divBdr>
                                  <w:divsChild>
                                    <w:div w:id="906303821">
                                      <w:marLeft w:val="0"/>
                                      <w:marRight w:val="0"/>
                                      <w:marTop w:val="0"/>
                                      <w:marBottom w:val="0"/>
                                      <w:divBdr>
                                        <w:top w:val="none" w:sz="0" w:space="0" w:color="auto"/>
                                        <w:left w:val="none" w:sz="0" w:space="0" w:color="auto"/>
                                        <w:bottom w:val="none" w:sz="0" w:space="0" w:color="auto"/>
                                        <w:right w:val="none" w:sz="0" w:space="0" w:color="auto"/>
                                      </w:divBdr>
                                      <w:divsChild>
                                        <w:div w:id="88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85018">
      <w:bodyDiv w:val="1"/>
      <w:marLeft w:val="0"/>
      <w:marRight w:val="0"/>
      <w:marTop w:val="0"/>
      <w:marBottom w:val="0"/>
      <w:divBdr>
        <w:top w:val="none" w:sz="0" w:space="0" w:color="auto"/>
        <w:left w:val="none" w:sz="0" w:space="0" w:color="auto"/>
        <w:bottom w:val="none" w:sz="0" w:space="0" w:color="auto"/>
        <w:right w:val="none" w:sz="0" w:space="0" w:color="auto"/>
      </w:divBdr>
    </w:div>
    <w:div w:id="989139993">
      <w:bodyDiv w:val="1"/>
      <w:marLeft w:val="0"/>
      <w:marRight w:val="0"/>
      <w:marTop w:val="0"/>
      <w:marBottom w:val="0"/>
      <w:divBdr>
        <w:top w:val="none" w:sz="0" w:space="0" w:color="auto"/>
        <w:left w:val="none" w:sz="0" w:space="0" w:color="auto"/>
        <w:bottom w:val="none" w:sz="0" w:space="0" w:color="auto"/>
        <w:right w:val="none" w:sz="0" w:space="0" w:color="auto"/>
      </w:divBdr>
    </w:div>
    <w:div w:id="995651889">
      <w:bodyDiv w:val="1"/>
      <w:marLeft w:val="0"/>
      <w:marRight w:val="0"/>
      <w:marTop w:val="0"/>
      <w:marBottom w:val="0"/>
      <w:divBdr>
        <w:top w:val="none" w:sz="0" w:space="0" w:color="auto"/>
        <w:left w:val="none" w:sz="0" w:space="0" w:color="auto"/>
        <w:bottom w:val="none" w:sz="0" w:space="0" w:color="auto"/>
        <w:right w:val="none" w:sz="0" w:space="0" w:color="auto"/>
      </w:divBdr>
    </w:div>
    <w:div w:id="1446340769">
      <w:bodyDiv w:val="1"/>
      <w:marLeft w:val="0"/>
      <w:marRight w:val="0"/>
      <w:marTop w:val="0"/>
      <w:marBottom w:val="0"/>
      <w:divBdr>
        <w:top w:val="none" w:sz="0" w:space="0" w:color="auto"/>
        <w:left w:val="none" w:sz="0" w:space="0" w:color="auto"/>
        <w:bottom w:val="none" w:sz="0" w:space="0" w:color="auto"/>
        <w:right w:val="none" w:sz="0" w:space="0" w:color="auto"/>
      </w:divBdr>
      <w:divsChild>
        <w:div w:id="1303736623">
          <w:marLeft w:val="0"/>
          <w:marRight w:val="0"/>
          <w:marTop w:val="0"/>
          <w:marBottom w:val="0"/>
          <w:divBdr>
            <w:top w:val="none" w:sz="0" w:space="0" w:color="auto"/>
            <w:left w:val="none" w:sz="0" w:space="0" w:color="auto"/>
            <w:bottom w:val="none" w:sz="0" w:space="0" w:color="auto"/>
            <w:right w:val="none" w:sz="0" w:space="0" w:color="auto"/>
          </w:divBdr>
          <w:divsChild>
            <w:div w:id="452671500">
              <w:marLeft w:val="0"/>
              <w:marRight w:val="0"/>
              <w:marTop w:val="0"/>
              <w:marBottom w:val="0"/>
              <w:divBdr>
                <w:top w:val="none" w:sz="0" w:space="0" w:color="auto"/>
                <w:left w:val="none" w:sz="0" w:space="0" w:color="auto"/>
                <w:bottom w:val="none" w:sz="0" w:space="0" w:color="auto"/>
                <w:right w:val="none" w:sz="0" w:space="0" w:color="auto"/>
              </w:divBdr>
              <w:divsChild>
                <w:div w:id="758254533">
                  <w:marLeft w:val="0"/>
                  <w:marRight w:val="0"/>
                  <w:marTop w:val="0"/>
                  <w:marBottom w:val="0"/>
                  <w:divBdr>
                    <w:top w:val="none" w:sz="0" w:space="0" w:color="auto"/>
                    <w:left w:val="none" w:sz="0" w:space="0" w:color="auto"/>
                    <w:bottom w:val="none" w:sz="0" w:space="0" w:color="auto"/>
                    <w:right w:val="none" w:sz="0" w:space="0" w:color="auto"/>
                  </w:divBdr>
                  <w:divsChild>
                    <w:div w:id="468788524">
                      <w:marLeft w:val="0"/>
                      <w:marRight w:val="0"/>
                      <w:marTop w:val="0"/>
                      <w:marBottom w:val="0"/>
                      <w:divBdr>
                        <w:top w:val="none" w:sz="0" w:space="0" w:color="auto"/>
                        <w:left w:val="none" w:sz="0" w:space="0" w:color="auto"/>
                        <w:bottom w:val="none" w:sz="0" w:space="0" w:color="auto"/>
                        <w:right w:val="none" w:sz="0" w:space="0" w:color="auto"/>
                      </w:divBdr>
                      <w:divsChild>
                        <w:div w:id="769158316">
                          <w:marLeft w:val="0"/>
                          <w:marRight w:val="0"/>
                          <w:marTop w:val="0"/>
                          <w:marBottom w:val="0"/>
                          <w:divBdr>
                            <w:top w:val="none" w:sz="0" w:space="0" w:color="auto"/>
                            <w:left w:val="none" w:sz="0" w:space="0" w:color="auto"/>
                            <w:bottom w:val="none" w:sz="0" w:space="0" w:color="auto"/>
                            <w:right w:val="none" w:sz="0" w:space="0" w:color="auto"/>
                          </w:divBdr>
                          <w:divsChild>
                            <w:div w:id="1865167179">
                              <w:marLeft w:val="0"/>
                              <w:marRight w:val="0"/>
                              <w:marTop w:val="0"/>
                              <w:marBottom w:val="0"/>
                              <w:divBdr>
                                <w:top w:val="none" w:sz="0" w:space="0" w:color="auto"/>
                                <w:left w:val="none" w:sz="0" w:space="0" w:color="auto"/>
                                <w:bottom w:val="none" w:sz="0" w:space="0" w:color="auto"/>
                                <w:right w:val="none" w:sz="0" w:space="0" w:color="auto"/>
                              </w:divBdr>
                              <w:divsChild>
                                <w:div w:id="2047825462">
                                  <w:marLeft w:val="0"/>
                                  <w:marRight w:val="0"/>
                                  <w:marTop w:val="0"/>
                                  <w:marBottom w:val="0"/>
                                  <w:divBdr>
                                    <w:top w:val="none" w:sz="0" w:space="0" w:color="auto"/>
                                    <w:left w:val="none" w:sz="0" w:space="0" w:color="auto"/>
                                    <w:bottom w:val="none" w:sz="0" w:space="0" w:color="auto"/>
                                    <w:right w:val="none" w:sz="0" w:space="0" w:color="auto"/>
                                  </w:divBdr>
                                  <w:divsChild>
                                    <w:div w:id="18985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430">
          <w:marLeft w:val="0"/>
          <w:marRight w:val="0"/>
          <w:marTop w:val="0"/>
          <w:marBottom w:val="0"/>
          <w:divBdr>
            <w:top w:val="none" w:sz="0" w:space="0" w:color="auto"/>
            <w:left w:val="none" w:sz="0" w:space="0" w:color="auto"/>
            <w:bottom w:val="none" w:sz="0" w:space="0" w:color="auto"/>
            <w:right w:val="none" w:sz="0" w:space="0" w:color="auto"/>
          </w:divBdr>
          <w:divsChild>
            <w:div w:id="1109857355">
              <w:marLeft w:val="0"/>
              <w:marRight w:val="0"/>
              <w:marTop w:val="0"/>
              <w:marBottom w:val="0"/>
              <w:divBdr>
                <w:top w:val="none" w:sz="0" w:space="0" w:color="auto"/>
                <w:left w:val="none" w:sz="0" w:space="0" w:color="auto"/>
                <w:bottom w:val="none" w:sz="0" w:space="0" w:color="auto"/>
                <w:right w:val="none" w:sz="0" w:space="0" w:color="auto"/>
              </w:divBdr>
              <w:divsChild>
                <w:div w:id="1581057309">
                  <w:marLeft w:val="0"/>
                  <w:marRight w:val="0"/>
                  <w:marTop w:val="0"/>
                  <w:marBottom w:val="0"/>
                  <w:divBdr>
                    <w:top w:val="none" w:sz="0" w:space="0" w:color="auto"/>
                    <w:left w:val="none" w:sz="0" w:space="0" w:color="auto"/>
                    <w:bottom w:val="none" w:sz="0" w:space="0" w:color="auto"/>
                    <w:right w:val="none" w:sz="0" w:space="0" w:color="auto"/>
                  </w:divBdr>
                  <w:divsChild>
                    <w:div w:id="398021246">
                      <w:marLeft w:val="0"/>
                      <w:marRight w:val="0"/>
                      <w:marTop w:val="0"/>
                      <w:marBottom w:val="0"/>
                      <w:divBdr>
                        <w:top w:val="none" w:sz="0" w:space="0" w:color="auto"/>
                        <w:left w:val="none" w:sz="0" w:space="0" w:color="auto"/>
                        <w:bottom w:val="none" w:sz="0" w:space="0" w:color="auto"/>
                        <w:right w:val="none" w:sz="0" w:space="0" w:color="auto"/>
                      </w:divBdr>
                      <w:divsChild>
                        <w:div w:id="854612095">
                          <w:marLeft w:val="0"/>
                          <w:marRight w:val="0"/>
                          <w:marTop w:val="0"/>
                          <w:marBottom w:val="0"/>
                          <w:divBdr>
                            <w:top w:val="none" w:sz="0" w:space="0" w:color="auto"/>
                            <w:left w:val="none" w:sz="0" w:space="0" w:color="auto"/>
                            <w:bottom w:val="none" w:sz="0" w:space="0" w:color="auto"/>
                            <w:right w:val="none" w:sz="0" w:space="0" w:color="auto"/>
                          </w:divBdr>
                          <w:divsChild>
                            <w:div w:id="1561790082">
                              <w:marLeft w:val="0"/>
                              <w:marRight w:val="0"/>
                              <w:marTop w:val="0"/>
                              <w:marBottom w:val="0"/>
                              <w:divBdr>
                                <w:top w:val="none" w:sz="0" w:space="0" w:color="auto"/>
                                <w:left w:val="none" w:sz="0" w:space="0" w:color="auto"/>
                                <w:bottom w:val="none" w:sz="0" w:space="0" w:color="auto"/>
                                <w:right w:val="none" w:sz="0" w:space="0" w:color="auto"/>
                              </w:divBdr>
                              <w:divsChild>
                                <w:div w:id="392432913">
                                  <w:marLeft w:val="0"/>
                                  <w:marRight w:val="0"/>
                                  <w:marTop w:val="0"/>
                                  <w:marBottom w:val="0"/>
                                  <w:divBdr>
                                    <w:top w:val="none" w:sz="0" w:space="0" w:color="auto"/>
                                    <w:left w:val="none" w:sz="0" w:space="0" w:color="auto"/>
                                    <w:bottom w:val="none" w:sz="0" w:space="0" w:color="auto"/>
                                    <w:right w:val="none" w:sz="0" w:space="0" w:color="auto"/>
                                  </w:divBdr>
                                  <w:divsChild>
                                    <w:div w:id="314526365">
                                      <w:marLeft w:val="0"/>
                                      <w:marRight w:val="0"/>
                                      <w:marTop w:val="0"/>
                                      <w:marBottom w:val="0"/>
                                      <w:divBdr>
                                        <w:top w:val="none" w:sz="0" w:space="0" w:color="auto"/>
                                        <w:left w:val="none" w:sz="0" w:space="0" w:color="auto"/>
                                        <w:bottom w:val="none" w:sz="0" w:space="0" w:color="auto"/>
                                        <w:right w:val="none" w:sz="0" w:space="0" w:color="auto"/>
                                      </w:divBdr>
                                      <w:divsChild>
                                        <w:div w:id="9114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898269">
      <w:bodyDiv w:val="1"/>
      <w:marLeft w:val="0"/>
      <w:marRight w:val="0"/>
      <w:marTop w:val="0"/>
      <w:marBottom w:val="0"/>
      <w:divBdr>
        <w:top w:val="none" w:sz="0" w:space="0" w:color="auto"/>
        <w:left w:val="none" w:sz="0" w:space="0" w:color="auto"/>
        <w:bottom w:val="none" w:sz="0" w:space="0" w:color="auto"/>
        <w:right w:val="none" w:sz="0" w:space="0" w:color="auto"/>
      </w:divBdr>
    </w:div>
    <w:div w:id="1743483669">
      <w:bodyDiv w:val="1"/>
      <w:marLeft w:val="0"/>
      <w:marRight w:val="0"/>
      <w:marTop w:val="0"/>
      <w:marBottom w:val="0"/>
      <w:divBdr>
        <w:top w:val="none" w:sz="0" w:space="0" w:color="auto"/>
        <w:left w:val="none" w:sz="0" w:space="0" w:color="auto"/>
        <w:bottom w:val="none" w:sz="0" w:space="0" w:color="auto"/>
        <w:right w:val="none" w:sz="0" w:space="0" w:color="auto"/>
      </w:divBdr>
    </w:div>
    <w:div w:id="1820001145">
      <w:bodyDiv w:val="1"/>
      <w:marLeft w:val="0"/>
      <w:marRight w:val="0"/>
      <w:marTop w:val="0"/>
      <w:marBottom w:val="0"/>
      <w:divBdr>
        <w:top w:val="none" w:sz="0" w:space="0" w:color="auto"/>
        <w:left w:val="none" w:sz="0" w:space="0" w:color="auto"/>
        <w:bottom w:val="none" w:sz="0" w:space="0" w:color="auto"/>
        <w:right w:val="none" w:sz="0" w:space="0" w:color="auto"/>
      </w:divBdr>
    </w:div>
    <w:div w:id="1837261214">
      <w:bodyDiv w:val="1"/>
      <w:marLeft w:val="0"/>
      <w:marRight w:val="0"/>
      <w:marTop w:val="0"/>
      <w:marBottom w:val="0"/>
      <w:divBdr>
        <w:top w:val="none" w:sz="0" w:space="0" w:color="auto"/>
        <w:left w:val="none" w:sz="0" w:space="0" w:color="auto"/>
        <w:bottom w:val="none" w:sz="0" w:space="0" w:color="auto"/>
        <w:right w:val="none" w:sz="0" w:space="0" w:color="auto"/>
      </w:divBdr>
    </w:div>
    <w:div w:id="200396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f4202-7d72-4963-97b2-606acafd052a" xsi:nil="true"/>
    <lcf76f155ced4ddcb4097134ff3c332f xmlns="5bd06163-20c3-479d-9faf-2e7bba9370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B4DCC9BF58CF49B510C7147B61307B" ma:contentTypeVersion="14" ma:contentTypeDescription="Create a new document." ma:contentTypeScope="" ma:versionID="ff69c4a31bffa56954f57cc873a25ded">
  <xsd:schema xmlns:xsd="http://www.w3.org/2001/XMLSchema" xmlns:xs="http://www.w3.org/2001/XMLSchema" xmlns:p="http://schemas.microsoft.com/office/2006/metadata/properties" xmlns:ns2="5bd06163-20c3-479d-9faf-2e7bba9370f9" xmlns:ns3="64df4202-7d72-4963-97b2-606acafd052a" targetNamespace="http://schemas.microsoft.com/office/2006/metadata/properties" ma:root="true" ma:fieldsID="c151641c3fc1f2c7c8c32b96bafb8b4f" ns2:_="" ns3:_="">
    <xsd:import namespace="5bd06163-20c3-479d-9faf-2e7bba9370f9"/>
    <xsd:import namespace="64df4202-7d72-4963-97b2-606acafd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163-20c3-479d-9faf-2e7bba93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f4202-7d72-4963-97b2-606acafd0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6aeac9-cf24-4535-9e60-0be1edca33c5}" ma:internalName="TaxCatchAll" ma:showField="CatchAllData" ma:web="64df4202-7d72-4963-97b2-606acafd0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FC7B6-9DD4-4EC5-8B71-4183B1BE0E04}">
  <ds:schemaRefs>
    <ds:schemaRef ds:uri="http://schemas.microsoft.com/office/2006/metadata/properties"/>
    <ds:schemaRef ds:uri="http://schemas.microsoft.com/office/infopath/2007/PartnerControls"/>
    <ds:schemaRef ds:uri="64df4202-7d72-4963-97b2-606acafd052a"/>
    <ds:schemaRef ds:uri="5bd06163-20c3-479d-9faf-2e7bba9370f9"/>
  </ds:schemaRefs>
</ds:datastoreItem>
</file>

<file path=customXml/itemProps2.xml><?xml version="1.0" encoding="utf-8"?>
<ds:datastoreItem xmlns:ds="http://schemas.openxmlformats.org/officeDocument/2006/customXml" ds:itemID="{17631CA1-9815-4EFF-83BF-A9951A4420EF}">
  <ds:schemaRefs>
    <ds:schemaRef ds:uri="http://schemas.microsoft.com/sharepoint/v3/contenttype/forms"/>
  </ds:schemaRefs>
</ds:datastoreItem>
</file>

<file path=customXml/itemProps3.xml><?xml version="1.0" encoding="utf-8"?>
<ds:datastoreItem xmlns:ds="http://schemas.openxmlformats.org/officeDocument/2006/customXml" ds:itemID="{DA3811BF-1C0F-421D-A8CB-96C2F87E4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163-20c3-479d-9faf-2e7bba9370f9"/>
    <ds:schemaRef ds:uri="64df4202-7d72-4963-97b2-606acafd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Faaria Sahi</cp:lastModifiedBy>
  <cp:revision>128</cp:revision>
  <cp:lastPrinted>2023-09-20T09:46:00Z</cp:lastPrinted>
  <dcterms:created xsi:type="dcterms:W3CDTF">2025-09-08T17:46:00Z</dcterms:created>
  <dcterms:modified xsi:type="dcterms:W3CDTF">2025-09-11T09:19:00Z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ContentTypeId">
    <vt:lpwstr>0x01010009B4DCC9BF58CF49B510C7147B61307B</vt:lpwstr>
  </property>
  <property fmtid="{D5CDD505-2E9C-101B-9397-08002B2CF9AE}" pid="13" name="MediaServiceImageTags">
    <vt:lpwstr/>
  </property>
</Properties>
</file>